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CB7713" w:rsidRPr="00910654" w:rsidRDefault="00CB7713" w:rsidP="00CB7713">
      <w:pPr>
        <w:jc w:val="center"/>
        <w:rPr>
          <w:rFonts w:ascii="Garamond" w:hAnsi="Garamond"/>
          <w:sz w:val="40"/>
          <w:szCs w:val="40"/>
        </w:rPr>
      </w:pPr>
    </w:p>
    <w:p w:rsidR="00ED370D" w:rsidRPr="00910654" w:rsidRDefault="00CB7713" w:rsidP="00CB7713">
      <w:pPr>
        <w:jc w:val="center"/>
        <w:rPr>
          <w:rFonts w:ascii="Garamond" w:hAnsi="Garamond"/>
          <w:b/>
          <w:sz w:val="40"/>
          <w:szCs w:val="40"/>
        </w:rPr>
      </w:pPr>
      <w:r w:rsidRPr="00910654">
        <w:rPr>
          <w:rFonts w:ascii="Garamond" w:hAnsi="Garamond"/>
          <w:b/>
          <w:sz w:val="40"/>
          <w:szCs w:val="40"/>
        </w:rPr>
        <w:t>EVALUACIÓN DE DEMANDA E INVERSIÓN EFECTIVA EN PROGRAMA MEJORAMIENTO URBANO Y EQUIPAMIENTO COMUNAL</w:t>
      </w:r>
    </w:p>
    <w:p w:rsidR="00CB7713" w:rsidRPr="00F111CA" w:rsidRDefault="00CB7713" w:rsidP="00CB7713">
      <w:pPr>
        <w:jc w:val="center"/>
        <w:rPr>
          <w:rFonts w:ascii="Garamond" w:hAnsi="Garamond"/>
          <w:b/>
          <w:sz w:val="32"/>
        </w:rPr>
      </w:pPr>
    </w:p>
    <w:p w:rsidR="00F111CA" w:rsidRPr="00466644" w:rsidRDefault="00F111CA" w:rsidP="00F111CA">
      <w:pPr>
        <w:spacing w:after="0" w:line="240" w:lineRule="auto"/>
        <w:jc w:val="center"/>
        <w:rPr>
          <w:rFonts w:ascii="Garamond" w:hAnsi="Garamond"/>
          <w:b/>
          <w:sz w:val="28"/>
          <w:szCs w:val="28"/>
        </w:rPr>
      </w:pPr>
      <w:r w:rsidRPr="00466644">
        <w:rPr>
          <w:rFonts w:ascii="Garamond" w:hAnsi="Garamond"/>
          <w:b/>
          <w:sz w:val="28"/>
          <w:szCs w:val="28"/>
        </w:rPr>
        <w:t>Documento desarrollado por el Departamento de Estudios y Evaluación de la División de Políticas y Estudios</w:t>
      </w:r>
    </w:p>
    <w:p w:rsidR="00F111CA" w:rsidRDefault="00F111CA" w:rsidP="00F111CA">
      <w:pPr>
        <w:spacing w:after="0" w:line="240" w:lineRule="auto"/>
        <w:jc w:val="center"/>
        <w:rPr>
          <w:rFonts w:ascii="Garamond" w:hAnsi="Garamond"/>
          <w:b/>
        </w:rPr>
      </w:pPr>
    </w:p>
    <w:p w:rsidR="00F111CA" w:rsidRDefault="00F111CA" w:rsidP="00F111CA">
      <w:pPr>
        <w:spacing w:after="0" w:line="240" w:lineRule="auto"/>
        <w:jc w:val="center"/>
        <w:rPr>
          <w:rFonts w:ascii="Garamond" w:hAnsi="Garamond"/>
          <w:b/>
        </w:rPr>
      </w:pPr>
    </w:p>
    <w:p w:rsidR="00F111CA" w:rsidRDefault="00F111CA" w:rsidP="00F111CA">
      <w:pPr>
        <w:spacing w:after="0" w:line="240" w:lineRule="auto"/>
        <w:jc w:val="center"/>
        <w:rPr>
          <w:rFonts w:ascii="Garamond" w:hAnsi="Garamond"/>
          <w:b/>
        </w:rPr>
      </w:pPr>
    </w:p>
    <w:p w:rsidR="00F111CA" w:rsidRPr="00466644" w:rsidRDefault="00F111CA" w:rsidP="00F111CA">
      <w:pPr>
        <w:spacing w:after="0" w:line="240" w:lineRule="auto"/>
        <w:jc w:val="center"/>
        <w:rPr>
          <w:rFonts w:ascii="Garamond" w:hAnsi="Garamond"/>
          <w:b/>
        </w:rPr>
      </w:pPr>
    </w:p>
    <w:p w:rsidR="00F111CA" w:rsidRPr="00466644" w:rsidRDefault="00F111CA" w:rsidP="00F111CA">
      <w:pPr>
        <w:spacing w:after="0" w:line="240" w:lineRule="auto"/>
        <w:jc w:val="center"/>
        <w:rPr>
          <w:rFonts w:ascii="Garamond" w:hAnsi="Garamond"/>
          <w:b/>
        </w:rPr>
      </w:pPr>
    </w:p>
    <w:p w:rsidR="00F111CA" w:rsidRDefault="00F111CA" w:rsidP="00F111CA">
      <w:pPr>
        <w:spacing w:after="0" w:line="240" w:lineRule="auto"/>
        <w:jc w:val="center"/>
        <w:rPr>
          <w:rFonts w:ascii="Garamond" w:hAnsi="Garamond"/>
          <w:b/>
        </w:rPr>
      </w:pPr>
    </w:p>
    <w:p w:rsidR="00F111CA" w:rsidRPr="00466644" w:rsidRDefault="00F111CA" w:rsidP="00F111CA">
      <w:pPr>
        <w:spacing w:after="0" w:line="240" w:lineRule="auto"/>
        <w:jc w:val="center"/>
        <w:rPr>
          <w:rFonts w:ascii="Garamond" w:hAnsi="Garamond"/>
          <w:b/>
        </w:rPr>
      </w:pPr>
    </w:p>
    <w:p w:rsidR="00F111CA" w:rsidRDefault="00F111CA" w:rsidP="00F111CA">
      <w:pPr>
        <w:spacing w:after="0" w:line="240" w:lineRule="auto"/>
        <w:jc w:val="center"/>
        <w:rPr>
          <w:rFonts w:ascii="Garamond" w:hAnsi="Garamond"/>
          <w:b/>
        </w:rPr>
      </w:pPr>
    </w:p>
    <w:p w:rsidR="00F111CA" w:rsidRDefault="00F111CA" w:rsidP="00F111CA">
      <w:pPr>
        <w:spacing w:after="0" w:line="240" w:lineRule="auto"/>
        <w:jc w:val="center"/>
        <w:rPr>
          <w:rFonts w:ascii="Garamond" w:hAnsi="Garamond"/>
          <w:b/>
        </w:rPr>
      </w:pPr>
    </w:p>
    <w:p w:rsidR="00F111CA" w:rsidRPr="00466644" w:rsidRDefault="00F111CA" w:rsidP="00F111CA">
      <w:pPr>
        <w:spacing w:after="0" w:line="240" w:lineRule="auto"/>
        <w:jc w:val="center"/>
        <w:rPr>
          <w:rFonts w:ascii="Garamond" w:hAnsi="Garamond"/>
          <w:b/>
          <w:sz w:val="24"/>
          <w:szCs w:val="24"/>
        </w:rPr>
      </w:pPr>
    </w:p>
    <w:p w:rsidR="00CB7713" w:rsidRPr="00F111CA" w:rsidRDefault="00F111CA" w:rsidP="00F111CA">
      <w:pPr>
        <w:jc w:val="center"/>
        <w:rPr>
          <w:rFonts w:ascii="Garamond" w:hAnsi="Garamond"/>
          <w:sz w:val="32"/>
        </w:rPr>
      </w:pPr>
      <w:r w:rsidRPr="00466644">
        <w:rPr>
          <w:rFonts w:ascii="Garamond" w:hAnsi="Garamond"/>
          <w:b/>
          <w:sz w:val="24"/>
          <w:szCs w:val="24"/>
        </w:rPr>
        <w:t xml:space="preserve">Santiago, </w:t>
      </w:r>
      <w:r w:rsidR="00E87CE4">
        <w:rPr>
          <w:rFonts w:ascii="Garamond" w:hAnsi="Garamond"/>
          <w:b/>
          <w:sz w:val="24"/>
          <w:szCs w:val="24"/>
        </w:rPr>
        <w:t>diciembre</w:t>
      </w:r>
      <w:r>
        <w:rPr>
          <w:rFonts w:ascii="Garamond" w:hAnsi="Garamond"/>
          <w:b/>
          <w:sz w:val="24"/>
          <w:szCs w:val="24"/>
        </w:rPr>
        <w:t xml:space="preserve"> de 2014</w:t>
      </w:r>
    </w:p>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CB7713" w:rsidRPr="00F111CA" w:rsidRDefault="00CB7713" w:rsidP="00CB7713">
      <w:pPr>
        <w:jc w:val="center"/>
        <w:rPr>
          <w:rFonts w:ascii="Garamond" w:hAnsi="Garamond"/>
          <w:sz w:val="32"/>
        </w:rPr>
      </w:pPr>
    </w:p>
    <w:p w:rsidR="00ED370D" w:rsidRPr="00F111CA" w:rsidRDefault="00CB7713" w:rsidP="00CB7713">
      <w:pPr>
        <w:pStyle w:val="Prrafodelista"/>
        <w:numPr>
          <w:ilvl w:val="0"/>
          <w:numId w:val="18"/>
        </w:numPr>
        <w:spacing w:line="240" w:lineRule="auto"/>
        <w:contextualSpacing w:val="0"/>
        <w:rPr>
          <w:rFonts w:ascii="Garamond" w:hAnsi="Garamond"/>
          <w:b/>
          <w:sz w:val="24"/>
          <w:szCs w:val="24"/>
        </w:rPr>
      </w:pPr>
      <w:r w:rsidRPr="00F111CA">
        <w:rPr>
          <w:rFonts w:ascii="Garamond" w:hAnsi="Garamond"/>
          <w:b/>
          <w:sz w:val="24"/>
          <w:szCs w:val="24"/>
        </w:rPr>
        <w:lastRenderedPageBreak/>
        <w:t>INTRODUCCIÓN</w:t>
      </w:r>
    </w:p>
    <w:p w:rsidR="00CB7713" w:rsidRPr="00F111CA" w:rsidRDefault="00CB7713" w:rsidP="00CB7713">
      <w:pPr>
        <w:spacing w:line="240" w:lineRule="auto"/>
        <w:rPr>
          <w:rFonts w:ascii="Garamond" w:hAnsi="Garamond"/>
        </w:rPr>
      </w:pPr>
      <w:r w:rsidRPr="00F111CA">
        <w:rPr>
          <w:rFonts w:ascii="Garamond" w:hAnsi="Garamond"/>
        </w:rPr>
        <w:t>El presente trabajo, solicitado por la Unidad Programa Mejoramiento Urbano y Equipamiento Comunal, tiene los siguientes objetivos:</w:t>
      </w:r>
    </w:p>
    <w:p w:rsidR="00ED370D" w:rsidRPr="00F111CA" w:rsidRDefault="00CB7713" w:rsidP="00CB7713">
      <w:pPr>
        <w:pStyle w:val="Prrafodelista"/>
        <w:numPr>
          <w:ilvl w:val="0"/>
          <w:numId w:val="27"/>
        </w:numPr>
        <w:spacing w:line="240" w:lineRule="auto"/>
        <w:contextualSpacing w:val="0"/>
        <w:rPr>
          <w:rFonts w:ascii="Garamond" w:hAnsi="Garamond"/>
          <w:b/>
        </w:rPr>
      </w:pPr>
      <w:r w:rsidRPr="00F111CA">
        <w:rPr>
          <w:rFonts w:ascii="Garamond" w:hAnsi="Garamond"/>
          <w:b/>
        </w:rPr>
        <w:t>Objetivo general:</w:t>
      </w:r>
    </w:p>
    <w:p w:rsidR="00ED370D" w:rsidRPr="00F111CA" w:rsidRDefault="00ED370D" w:rsidP="00CB7713">
      <w:pPr>
        <w:spacing w:line="240" w:lineRule="auto"/>
        <w:jc w:val="both"/>
        <w:rPr>
          <w:rFonts w:ascii="Garamond" w:hAnsi="Garamond"/>
        </w:rPr>
      </w:pPr>
      <w:r w:rsidRPr="00F111CA">
        <w:rPr>
          <w:rFonts w:ascii="Garamond" w:hAnsi="Garamond"/>
        </w:rPr>
        <w:t>Evaluar la composición, pertinencia y consistencia interna del Programa de Mejoramiento Urbano</w:t>
      </w:r>
      <w:r w:rsidR="002D4325" w:rsidRPr="00F111CA">
        <w:rPr>
          <w:rFonts w:ascii="Garamond" w:hAnsi="Garamond"/>
        </w:rPr>
        <w:t xml:space="preserve"> </w:t>
      </w:r>
      <w:r w:rsidR="009D29BE" w:rsidRPr="00F111CA">
        <w:rPr>
          <w:rFonts w:ascii="Garamond" w:hAnsi="Garamond"/>
        </w:rPr>
        <w:t>entre</w:t>
      </w:r>
      <w:r w:rsidR="00440A9B" w:rsidRPr="00F111CA">
        <w:rPr>
          <w:rFonts w:ascii="Garamond" w:hAnsi="Garamond"/>
        </w:rPr>
        <w:t xml:space="preserve"> los años 2011 y</w:t>
      </w:r>
      <w:r w:rsidR="009D29BE" w:rsidRPr="00F111CA">
        <w:rPr>
          <w:rFonts w:ascii="Garamond" w:hAnsi="Garamond"/>
        </w:rPr>
        <w:t xml:space="preserve"> 201</w:t>
      </w:r>
      <w:r w:rsidR="00426A5F" w:rsidRPr="00F111CA">
        <w:rPr>
          <w:rFonts w:ascii="Garamond" w:hAnsi="Garamond"/>
        </w:rPr>
        <w:t>3</w:t>
      </w:r>
      <w:r w:rsidR="00440A9B" w:rsidRPr="00F111CA">
        <w:rPr>
          <w:rFonts w:ascii="Garamond" w:hAnsi="Garamond"/>
        </w:rPr>
        <w:t xml:space="preserve">. Además de ello, se evaluará </w:t>
      </w:r>
      <w:r w:rsidRPr="00F111CA">
        <w:rPr>
          <w:rFonts w:ascii="Garamond" w:hAnsi="Garamond"/>
        </w:rPr>
        <w:t>la composición y magnitud de la demanda efectiva de financiamiento de proyectos</w:t>
      </w:r>
      <w:r w:rsidR="00426A5F" w:rsidRPr="00F111CA">
        <w:rPr>
          <w:rFonts w:ascii="Garamond" w:hAnsi="Garamond"/>
        </w:rPr>
        <w:t xml:space="preserve"> entre 2013 y 2014</w:t>
      </w:r>
      <w:r w:rsidRPr="00F111CA">
        <w:rPr>
          <w:rFonts w:ascii="Garamond" w:hAnsi="Garamond"/>
        </w:rPr>
        <w:t>.</w:t>
      </w:r>
    </w:p>
    <w:p w:rsidR="00ED370D" w:rsidRPr="00F111CA" w:rsidRDefault="00CB7713" w:rsidP="00CB7713">
      <w:pPr>
        <w:pStyle w:val="Prrafodelista"/>
        <w:numPr>
          <w:ilvl w:val="0"/>
          <w:numId w:val="27"/>
        </w:numPr>
        <w:spacing w:line="240" w:lineRule="auto"/>
        <w:contextualSpacing w:val="0"/>
        <w:jc w:val="both"/>
        <w:rPr>
          <w:rFonts w:ascii="Garamond" w:hAnsi="Garamond"/>
          <w:b/>
        </w:rPr>
      </w:pPr>
      <w:r w:rsidRPr="00F111CA">
        <w:rPr>
          <w:rFonts w:ascii="Garamond" w:hAnsi="Garamond"/>
          <w:b/>
        </w:rPr>
        <w:t>Objetivos específicos</w:t>
      </w:r>
      <w:r w:rsidR="00426A5F" w:rsidRPr="00F111CA">
        <w:rPr>
          <w:rFonts w:ascii="Garamond" w:hAnsi="Garamond"/>
          <w:b/>
        </w:rPr>
        <w:t>:</w:t>
      </w:r>
    </w:p>
    <w:p w:rsidR="00ED370D" w:rsidRPr="00F111CA" w:rsidRDefault="00ED370D" w:rsidP="00CB7713">
      <w:pPr>
        <w:pStyle w:val="Prrafodelista"/>
        <w:numPr>
          <w:ilvl w:val="0"/>
          <w:numId w:val="17"/>
        </w:numPr>
        <w:spacing w:line="240" w:lineRule="auto"/>
        <w:contextualSpacing w:val="0"/>
        <w:jc w:val="both"/>
        <w:rPr>
          <w:rFonts w:ascii="Garamond" w:hAnsi="Garamond"/>
        </w:rPr>
      </w:pPr>
      <w:r w:rsidRPr="00F111CA">
        <w:rPr>
          <w:rFonts w:ascii="Garamond" w:hAnsi="Garamond"/>
        </w:rPr>
        <w:t>Identificar las principales líneas efectivas de proyectos postulados y/o ejecutados con fondos del PMU Tradicional y Emergencia.</w:t>
      </w:r>
    </w:p>
    <w:p w:rsidR="00ED370D" w:rsidRPr="00F111CA" w:rsidRDefault="00ED370D" w:rsidP="00CB7713">
      <w:pPr>
        <w:pStyle w:val="Prrafodelista"/>
        <w:numPr>
          <w:ilvl w:val="0"/>
          <w:numId w:val="17"/>
        </w:numPr>
        <w:spacing w:line="240" w:lineRule="auto"/>
        <w:contextualSpacing w:val="0"/>
        <w:jc w:val="both"/>
        <w:rPr>
          <w:rFonts w:ascii="Garamond" w:hAnsi="Garamond"/>
        </w:rPr>
      </w:pPr>
      <w:r w:rsidRPr="00F111CA">
        <w:rPr>
          <w:rFonts w:ascii="Garamond" w:hAnsi="Garamond"/>
        </w:rPr>
        <w:t>Contrastar las líneas efectivas de proyectos postulados y ejecutados con fondos PMU Tradicional y Emergencia, con las líneas modulares propuestas por el Programa.</w:t>
      </w:r>
    </w:p>
    <w:p w:rsidR="00ED370D" w:rsidRPr="00F111CA" w:rsidRDefault="00ED370D" w:rsidP="00CB7713">
      <w:pPr>
        <w:pStyle w:val="Prrafodelista"/>
        <w:numPr>
          <w:ilvl w:val="0"/>
          <w:numId w:val="17"/>
        </w:numPr>
        <w:spacing w:line="240" w:lineRule="auto"/>
        <w:contextualSpacing w:val="0"/>
        <w:jc w:val="both"/>
        <w:rPr>
          <w:rFonts w:ascii="Garamond" w:hAnsi="Garamond"/>
        </w:rPr>
      </w:pPr>
      <w:r w:rsidRPr="00F111CA">
        <w:rPr>
          <w:rFonts w:ascii="Garamond" w:hAnsi="Garamond"/>
        </w:rPr>
        <w:t>Estimar la demanda real de financiamiento para proyectos PMU Tradicional y Emergencia.</w:t>
      </w:r>
    </w:p>
    <w:p w:rsidR="00BA0636" w:rsidRPr="00F111CA" w:rsidRDefault="00BA0636" w:rsidP="00CB7713">
      <w:pPr>
        <w:pStyle w:val="Prrafodelista"/>
        <w:numPr>
          <w:ilvl w:val="0"/>
          <w:numId w:val="17"/>
        </w:numPr>
        <w:spacing w:line="240" w:lineRule="auto"/>
        <w:contextualSpacing w:val="0"/>
        <w:jc w:val="both"/>
        <w:rPr>
          <w:rFonts w:ascii="Garamond" w:hAnsi="Garamond"/>
        </w:rPr>
      </w:pPr>
      <w:r w:rsidRPr="00F111CA">
        <w:rPr>
          <w:rFonts w:ascii="Garamond" w:hAnsi="Garamond"/>
        </w:rPr>
        <w:t>Contrastar las cifras generadas de empleo promedio para proyectos PMU Tradicional y Emergencia</w:t>
      </w:r>
    </w:p>
    <w:p w:rsidR="009D29BE" w:rsidRPr="00F111CA" w:rsidRDefault="009D29BE" w:rsidP="00CB7713">
      <w:pPr>
        <w:pStyle w:val="Prrafodelista"/>
        <w:numPr>
          <w:ilvl w:val="0"/>
          <w:numId w:val="17"/>
        </w:numPr>
        <w:spacing w:line="240" w:lineRule="auto"/>
        <w:contextualSpacing w:val="0"/>
        <w:jc w:val="both"/>
        <w:rPr>
          <w:rFonts w:ascii="Garamond" w:hAnsi="Garamond"/>
        </w:rPr>
      </w:pPr>
      <w:r w:rsidRPr="00F111CA">
        <w:rPr>
          <w:rFonts w:ascii="Garamond" w:hAnsi="Garamond"/>
        </w:rPr>
        <w:t>Examinar la capacidad de los proyectos PMU de generar empleos, además de la modalidad de ejecución de los proyectos.</w:t>
      </w:r>
    </w:p>
    <w:p w:rsidR="00595667" w:rsidRPr="00F111CA" w:rsidRDefault="00595667" w:rsidP="00CB7713">
      <w:pPr>
        <w:spacing w:line="240" w:lineRule="auto"/>
        <w:jc w:val="both"/>
        <w:rPr>
          <w:rFonts w:ascii="Garamond" w:hAnsi="Garamond"/>
        </w:rPr>
      </w:pPr>
      <w:r w:rsidRPr="00F111CA">
        <w:rPr>
          <w:rFonts w:ascii="Garamond" w:hAnsi="Garamond"/>
        </w:rPr>
        <w:t>Por disponibilidad de información,</w:t>
      </w:r>
      <w:r w:rsidR="00F22121" w:rsidRPr="00F111CA">
        <w:rPr>
          <w:rFonts w:ascii="Garamond" w:hAnsi="Garamond"/>
        </w:rPr>
        <w:t xml:space="preserve"> para </w:t>
      </w:r>
      <w:r w:rsidR="004D665D" w:rsidRPr="00F111CA">
        <w:rPr>
          <w:rFonts w:ascii="Garamond" w:hAnsi="Garamond"/>
        </w:rPr>
        <w:t>los distintos análisis</w:t>
      </w:r>
      <w:r w:rsidR="00F22121" w:rsidRPr="00F111CA">
        <w:rPr>
          <w:rFonts w:ascii="Garamond" w:hAnsi="Garamond"/>
        </w:rPr>
        <w:t xml:space="preserve"> se utilizaron </w:t>
      </w:r>
      <w:r w:rsidR="001D410D" w:rsidRPr="00F111CA">
        <w:rPr>
          <w:rFonts w:ascii="Garamond" w:hAnsi="Garamond"/>
        </w:rPr>
        <w:t>cuatro</w:t>
      </w:r>
      <w:r w:rsidRPr="00F111CA">
        <w:rPr>
          <w:rFonts w:ascii="Garamond" w:hAnsi="Garamond"/>
        </w:rPr>
        <w:t xml:space="preserve"> bases de datos </w:t>
      </w:r>
      <w:r w:rsidR="00F22121" w:rsidRPr="00F111CA">
        <w:rPr>
          <w:rFonts w:ascii="Garamond" w:hAnsi="Garamond"/>
        </w:rPr>
        <w:t xml:space="preserve">también </w:t>
      </w:r>
      <w:r w:rsidRPr="00F111CA">
        <w:rPr>
          <w:rFonts w:ascii="Garamond" w:hAnsi="Garamond"/>
        </w:rPr>
        <w:t>distintas</w:t>
      </w:r>
      <w:r w:rsidR="00F22121" w:rsidRPr="00F111CA">
        <w:rPr>
          <w:rFonts w:ascii="Garamond" w:hAnsi="Garamond"/>
        </w:rPr>
        <w:t xml:space="preserve"> y no coincidentes entre sí</w:t>
      </w:r>
      <w:r w:rsidR="004D665D" w:rsidRPr="00F111CA">
        <w:rPr>
          <w:rFonts w:ascii="Garamond" w:hAnsi="Garamond"/>
        </w:rPr>
        <w:t>. Ellas no fueron</w:t>
      </w:r>
      <w:r w:rsidR="00DC0233" w:rsidRPr="00F111CA">
        <w:rPr>
          <w:rFonts w:ascii="Garamond" w:hAnsi="Garamond"/>
        </w:rPr>
        <w:t xml:space="preserve"> posible</w:t>
      </w:r>
      <w:r w:rsidR="00F22121" w:rsidRPr="00F111CA">
        <w:rPr>
          <w:rFonts w:ascii="Garamond" w:hAnsi="Garamond"/>
        </w:rPr>
        <w:t xml:space="preserve"> </w:t>
      </w:r>
      <w:r w:rsidR="004D665D" w:rsidRPr="00F111CA">
        <w:rPr>
          <w:rFonts w:ascii="Garamond" w:hAnsi="Garamond"/>
        </w:rPr>
        <w:t xml:space="preserve">de </w:t>
      </w:r>
      <w:r w:rsidR="00DC0233" w:rsidRPr="00F111CA">
        <w:rPr>
          <w:rFonts w:ascii="Garamond" w:hAnsi="Garamond"/>
        </w:rPr>
        <w:t xml:space="preserve">consolidar en una </w:t>
      </w:r>
      <w:r w:rsidR="004D665D" w:rsidRPr="00F111CA">
        <w:rPr>
          <w:rFonts w:ascii="Garamond" w:hAnsi="Garamond"/>
        </w:rPr>
        <w:t xml:space="preserve">base </w:t>
      </w:r>
      <w:r w:rsidR="00DC0233" w:rsidRPr="00F111CA">
        <w:rPr>
          <w:rFonts w:ascii="Garamond" w:hAnsi="Garamond"/>
        </w:rPr>
        <w:t xml:space="preserve">única, dado que </w:t>
      </w:r>
      <w:r w:rsidR="00F22121" w:rsidRPr="00F111CA">
        <w:rPr>
          <w:rFonts w:ascii="Garamond" w:hAnsi="Garamond"/>
        </w:rPr>
        <w:t>los proyectos de una no son necesari</w:t>
      </w:r>
      <w:r w:rsidR="00DC0233" w:rsidRPr="00F111CA">
        <w:rPr>
          <w:rFonts w:ascii="Garamond" w:hAnsi="Garamond"/>
        </w:rPr>
        <w:t>amente identificables en otra</w:t>
      </w:r>
      <w:r w:rsidR="00F22121" w:rsidRPr="00F111CA">
        <w:rPr>
          <w:rFonts w:ascii="Garamond" w:hAnsi="Garamond"/>
        </w:rPr>
        <w:t xml:space="preserve">. </w:t>
      </w:r>
      <w:r w:rsidR="00DC0233" w:rsidRPr="00F111CA">
        <w:rPr>
          <w:rFonts w:ascii="Garamond" w:hAnsi="Garamond"/>
        </w:rPr>
        <w:t>Las bases de datos s</w:t>
      </w:r>
      <w:r w:rsidR="00F22121" w:rsidRPr="00F111CA">
        <w:rPr>
          <w:rFonts w:ascii="Garamond" w:hAnsi="Garamond"/>
        </w:rPr>
        <w:t>on las siguientes</w:t>
      </w:r>
      <w:r w:rsidRPr="00F111CA">
        <w:rPr>
          <w:rFonts w:ascii="Garamond" w:hAnsi="Garamond"/>
        </w:rPr>
        <w:t>:</w:t>
      </w:r>
    </w:p>
    <w:p w:rsidR="001A2003" w:rsidRDefault="00595667" w:rsidP="002A0772">
      <w:pPr>
        <w:pStyle w:val="Prrafodelista"/>
        <w:numPr>
          <w:ilvl w:val="0"/>
          <w:numId w:val="24"/>
        </w:numPr>
        <w:spacing w:line="240" w:lineRule="auto"/>
        <w:ind w:left="360"/>
        <w:contextualSpacing w:val="0"/>
        <w:jc w:val="both"/>
        <w:rPr>
          <w:rFonts w:ascii="Garamond" w:hAnsi="Garamond"/>
        </w:rPr>
      </w:pPr>
      <w:r w:rsidRPr="001A2003">
        <w:rPr>
          <w:rFonts w:ascii="Garamond" w:hAnsi="Garamond"/>
        </w:rPr>
        <w:t xml:space="preserve">Base de datos de proyectos ingresados a la plataforma electrónica SUBDERE en Línea, </w:t>
      </w:r>
      <w:r w:rsidR="001A2003" w:rsidRPr="001A2003">
        <w:rPr>
          <w:rFonts w:ascii="Garamond" w:hAnsi="Garamond"/>
        </w:rPr>
        <w:t>contiene</w:t>
      </w:r>
      <w:r w:rsidRPr="001A2003">
        <w:rPr>
          <w:rFonts w:ascii="Garamond" w:hAnsi="Garamond"/>
        </w:rPr>
        <w:t xml:space="preserve"> los proyectos </w:t>
      </w:r>
      <w:r w:rsidRPr="001A2003">
        <w:rPr>
          <w:rFonts w:ascii="Garamond" w:hAnsi="Garamond"/>
          <w:b/>
        </w:rPr>
        <w:t>en todas sus etapas sólo para el período comprendido entre enero de 2013 y mayo de 2014</w:t>
      </w:r>
      <w:r w:rsidRPr="001A2003">
        <w:rPr>
          <w:rFonts w:ascii="Garamond" w:hAnsi="Garamond"/>
        </w:rPr>
        <w:t>.</w:t>
      </w:r>
      <w:r w:rsidR="001A2003" w:rsidRPr="001A2003">
        <w:rPr>
          <w:rFonts w:ascii="Garamond" w:hAnsi="Garamond"/>
        </w:rPr>
        <w:t xml:space="preserve"> Esto incluye proyectos migrados de la base etiquetados (N° </w:t>
      </w:r>
      <w:r w:rsidR="001A2003">
        <w:rPr>
          <w:rFonts w:ascii="Garamond" w:hAnsi="Garamond"/>
        </w:rPr>
        <w:t>3</w:t>
      </w:r>
      <w:r w:rsidR="001A2003" w:rsidRPr="001A2003">
        <w:rPr>
          <w:rFonts w:ascii="Garamond" w:hAnsi="Garamond"/>
        </w:rPr>
        <w:t xml:space="preserve"> del presente listado), creados con anterioridad pero que tienen etapas</w:t>
      </w:r>
      <w:r w:rsidR="001A2003">
        <w:rPr>
          <w:rFonts w:ascii="Garamond" w:hAnsi="Garamond"/>
        </w:rPr>
        <w:t xml:space="preserve"> dentro de 2013-2014; sin embargo, no fue migrada la totalidad de estos proyectos.</w:t>
      </w:r>
    </w:p>
    <w:p w:rsidR="00595667" w:rsidRPr="001A2003" w:rsidRDefault="00595667" w:rsidP="002A0772">
      <w:pPr>
        <w:pStyle w:val="Prrafodelista"/>
        <w:numPr>
          <w:ilvl w:val="0"/>
          <w:numId w:val="24"/>
        </w:numPr>
        <w:spacing w:line="240" w:lineRule="auto"/>
        <w:ind w:left="360"/>
        <w:contextualSpacing w:val="0"/>
        <w:jc w:val="both"/>
        <w:rPr>
          <w:rFonts w:ascii="Garamond" w:hAnsi="Garamond"/>
        </w:rPr>
      </w:pPr>
      <w:r w:rsidRPr="001A2003">
        <w:rPr>
          <w:rFonts w:ascii="Garamond" w:hAnsi="Garamond"/>
        </w:rPr>
        <w:t xml:space="preserve">Esta base de datos se utilizó para analizar la </w:t>
      </w:r>
      <w:r w:rsidRPr="001A2003">
        <w:rPr>
          <w:rFonts w:ascii="Garamond" w:hAnsi="Garamond"/>
          <w:b/>
        </w:rPr>
        <w:t>demanda de inversión</w:t>
      </w:r>
      <w:r w:rsidR="00DC0233" w:rsidRPr="001A2003">
        <w:rPr>
          <w:rFonts w:ascii="Garamond" w:hAnsi="Garamond"/>
        </w:rPr>
        <w:t xml:space="preserve"> PMU y le llamaremos “</w:t>
      </w:r>
      <w:r w:rsidR="00DC0233" w:rsidRPr="001A2003">
        <w:rPr>
          <w:rFonts w:ascii="Garamond" w:hAnsi="Garamond"/>
          <w:b/>
        </w:rPr>
        <w:t>base de demanda 2013-2014</w:t>
      </w:r>
      <w:r w:rsidR="00DC0233" w:rsidRPr="001A2003">
        <w:rPr>
          <w:rFonts w:ascii="Garamond" w:hAnsi="Garamond"/>
        </w:rPr>
        <w:t>”.</w:t>
      </w:r>
    </w:p>
    <w:p w:rsidR="00595667" w:rsidRPr="00F111CA" w:rsidRDefault="00595667" w:rsidP="00CB7713">
      <w:pPr>
        <w:pStyle w:val="Prrafodelista"/>
        <w:numPr>
          <w:ilvl w:val="0"/>
          <w:numId w:val="24"/>
        </w:numPr>
        <w:spacing w:line="240" w:lineRule="auto"/>
        <w:ind w:left="360"/>
        <w:contextualSpacing w:val="0"/>
        <w:jc w:val="both"/>
        <w:rPr>
          <w:rFonts w:ascii="Garamond" w:hAnsi="Garamond"/>
        </w:rPr>
      </w:pPr>
      <w:r w:rsidRPr="00F111CA">
        <w:rPr>
          <w:rFonts w:ascii="Garamond" w:hAnsi="Garamond"/>
        </w:rPr>
        <w:t>Base de datos de proyectos aprobados (“etiquetados”), que pueden encontrarse simplemente aprobados, cerrados, o en cualquier etapa intermedia entre esas dos. Incluye información completa para el período comprendido entre enero de 2011 y diciembre de 2013.</w:t>
      </w:r>
    </w:p>
    <w:p w:rsidR="00595667" w:rsidRPr="00F111CA" w:rsidRDefault="00595667" w:rsidP="00CB7713">
      <w:pPr>
        <w:pStyle w:val="Prrafodelista"/>
        <w:spacing w:line="240" w:lineRule="auto"/>
        <w:ind w:left="360"/>
        <w:contextualSpacing w:val="0"/>
        <w:jc w:val="both"/>
        <w:rPr>
          <w:rFonts w:ascii="Garamond" w:hAnsi="Garamond"/>
        </w:rPr>
      </w:pPr>
      <w:r w:rsidRPr="00F111CA">
        <w:rPr>
          <w:rFonts w:ascii="Garamond" w:hAnsi="Garamond"/>
        </w:rPr>
        <w:t xml:space="preserve">Esta base de datos se utilizó para analizar la </w:t>
      </w:r>
      <w:r w:rsidRPr="00F111CA">
        <w:rPr>
          <w:rFonts w:ascii="Garamond" w:hAnsi="Garamond"/>
          <w:b/>
        </w:rPr>
        <w:t>inversión efectiva</w:t>
      </w:r>
      <w:r w:rsidR="00DC0233" w:rsidRPr="00F111CA">
        <w:rPr>
          <w:rFonts w:ascii="Garamond" w:hAnsi="Garamond"/>
        </w:rPr>
        <w:t xml:space="preserve"> PMU y le llamaremos “</w:t>
      </w:r>
      <w:r w:rsidR="00DC0233" w:rsidRPr="00F111CA">
        <w:rPr>
          <w:rFonts w:ascii="Garamond" w:hAnsi="Garamond"/>
          <w:b/>
        </w:rPr>
        <w:t>base de inversión efectiva 2011-2013</w:t>
      </w:r>
      <w:r w:rsidR="00DC0233" w:rsidRPr="00F111CA">
        <w:rPr>
          <w:rFonts w:ascii="Garamond" w:hAnsi="Garamond"/>
        </w:rPr>
        <w:t>”.</w:t>
      </w:r>
    </w:p>
    <w:p w:rsidR="001D410D" w:rsidRPr="00F111CA" w:rsidRDefault="001D410D" w:rsidP="00CB7713">
      <w:pPr>
        <w:pStyle w:val="Prrafodelista"/>
        <w:numPr>
          <w:ilvl w:val="0"/>
          <w:numId w:val="24"/>
        </w:numPr>
        <w:spacing w:line="240" w:lineRule="auto"/>
        <w:ind w:left="360"/>
        <w:contextualSpacing w:val="0"/>
        <w:jc w:val="both"/>
        <w:rPr>
          <w:rFonts w:ascii="Garamond" w:hAnsi="Garamond"/>
        </w:rPr>
      </w:pPr>
      <w:r w:rsidRPr="00F111CA">
        <w:rPr>
          <w:rFonts w:ascii="Garamond" w:hAnsi="Garamond"/>
        </w:rPr>
        <w:t xml:space="preserve">Una tercera base de datos </w:t>
      </w:r>
      <w:r w:rsidR="00F22121" w:rsidRPr="00F111CA">
        <w:rPr>
          <w:rFonts w:ascii="Garamond" w:hAnsi="Garamond"/>
        </w:rPr>
        <w:t xml:space="preserve">se utilizó para analizar </w:t>
      </w:r>
      <w:r w:rsidRPr="00F111CA">
        <w:rPr>
          <w:rFonts w:ascii="Garamond" w:hAnsi="Garamond"/>
        </w:rPr>
        <w:t xml:space="preserve">las carteras de proyectos incluidos en las </w:t>
      </w:r>
      <w:r w:rsidRPr="00F111CA">
        <w:rPr>
          <w:rFonts w:ascii="Garamond" w:hAnsi="Garamond"/>
          <w:b/>
        </w:rPr>
        <w:t xml:space="preserve">4 </w:t>
      </w:r>
      <w:r w:rsidR="00352BF9" w:rsidRPr="00F111CA">
        <w:rPr>
          <w:rFonts w:ascii="Garamond" w:hAnsi="Garamond"/>
          <w:b/>
        </w:rPr>
        <w:t>l</w:t>
      </w:r>
      <w:r w:rsidRPr="00F111CA">
        <w:rPr>
          <w:rFonts w:ascii="Garamond" w:hAnsi="Garamond"/>
          <w:b/>
        </w:rPr>
        <w:t>íneas</w:t>
      </w:r>
      <w:r w:rsidR="00352BF9" w:rsidRPr="00F111CA">
        <w:rPr>
          <w:rFonts w:ascii="Garamond" w:hAnsi="Garamond"/>
          <w:b/>
        </w:rPr>
        <w:t xml:space="preserve"> modulares</w:t>
      </w:r>
      <w:r w:rsidRPr="00F111CA">
        <w:rPr>
          <w:rFonts w:ascii="Garamond" w:hAnsi="Garamond"/>
          <w:b/>
        </w:rPr>
        <w:t xml:space="preserve"> de </w:t>
      </w:r>
      <w:r w:rsidR="00352BF9" w:rsidRPr="00F111CA">
        <w:rPr>
          <w:rFonts w:ascii="Garamond" w:hAnsi="Garamond"/>
          <w:b/>
        </w:rPr>
        <w:t>i</w:t>
      </w:r>
      <w:r w:rsidRPr="00F111CA">
        <w:rPr>
          <w:rFonts w:ascii="Garamond" w:hAnsi="Garamond"/>
          <w:b/>
        </w:rPr>
        <w:t>nversión creadas en 2011</w:t>
      </w:r>
      <w:r w:rsidRPr="00F111CA">
        <w:rPr>
          <w:rFonts w:ascii="Garamond" w:hAnsi="Garamond"/>
        </w:rPr>
        <w:t xml:space="preserve"> (Espacio Activo, Elige Vivir Sano, 100 Pasarelas y Fútbol Calle)</w:t>
      </w:r>
      <w:r w:rsidR="00DC0233" w:rsidRPr="00F111CA">
        <w:rPr>
          <w:rFonts w:ascii="Garamond" w:hAnsi="Garamond"/>
        </w:rPr>
        <w:t>. Le llamaremos “</w:t>
      </w:r>
      <w:r w:rsidR="00DC0233" w:rsidRPr="00F111CA">
        <w:rPr>
          <w:rFonts w:ascii="Garamond" w:hAnsi="Garamond"/>
          <w:b/>
        </w:rPr>
        <w:t>base de 4 líneas</w:t>
      </w:r>
      <w:r w:rsidR="00352BF9" w:rsidRPr="00F111CA">
        <w:rPr>
          <w:rFonts w:ascii="Garamond" w:hAnsi="Garamond"/>
          <w:b/>
        </w:rPr>
        <w:t xml:space="preserve"> modulares</w:t>
      </w:r>
      <w:r w:rsidR="00DC0233" w:rsidRPr="00F111CA">
        <w:rPr>
          <w:rFonts w:ascii="Garamond" w:hAnsi="Garamond"/>
        </w:rPr>
        <w:t>”.</w:t>
      </w:r>
    </w:p>
    <w:p w:rsidR="00595667" w:rsidRPr="00F111CA" w:rsidRDefault="00595667" w:rsidP="00CB7713">
      <w:pPr>
        <w:pStyle w:val="Prrafodelista"/>
        <w:numPr>
          <w:ilvl w:val="0"/>
          <w:numId w:val="24"/>
        </w:numPr>
        <w:spacing w:line="240" w:lineRule="auto"/>
        <w:ind w:left="360"/>
        <w:contextualSpacing w:val="0"/>
        <w:jc w:val="both"/>
        <w:rPr>
          <w:rFonts w:ascii="Garamond" w:hAnsi="Garamond"/>
        </w:rPr>
      </w:pPr>
      <w:r w:rsidRPr="00F111CA">
        <w:rPr>
          <w:rFonts w:ascii="Garamond" w:hAnsi="Garamond"/>
        </w:rPr>
        <w:t xml:space="preserve">Una </w:t>
      </w:r>
      <w:r w:rsidR="00F22121" w:rsidRPr="00F111CA">
        <w:rPr>
          <w:rFonts w:ascii="Garamond" w:hAnsi="Garamond"/>
        </w:rPr>
        <w:t>cuarta</w:t>
      </w:r>
      <w:r w:rsidRPr="00F111CA">
        <w:rPr>
          <w:rFonts w:ascii="Garamond" w:hAnsi="Garamond"/>
        </w:rPr>
        <w:t xml:space="preserve"> base </w:t>
      </w:r>
      <w:r w:rsidR="00CB7713" w:rsidRPr="00F111CA">
        <w:rPr>
          <w:rFonts w:ascii="Garamond" w:hAnsi="Garamond"/>
        </w:rPr>
        <w:t xml:space="preserve">de datos (“Resumen financiero”) </w:t>
      </w:r>
      <w:r w:rsidRPr="00F111CA">
        <w:rPr>
          <w:rFonts w:ascii="Garamond" w:hAnsi="Garamond"/>
        </w:rPr>
        <w:t xml:space="preserve">se utilizó para examinar la </w:t>
      </w:r>
      <w:r w:rsidRPr="00F111CA">
        <w:rPr>
          <w:rFonts w:ascii="Garamond" w:hAnsi="Garamond"/>
          <w:b/>
        </w:rPr>
        <w:t>generación de empleo</w:t>
      </w:r>
      <w:r w:rsidR="00CB7713" w:rsidRPr="00F111CA">
        <w:rPr>
          <w:rFonts w:ascii="Garamond" w:hAnsi="Garamond"/>
        </w:rPr>
        <w:t xml:space="preserve"> de los proyectos.</w:t>
      </w:r>
      <w:r w:rsidR="00DC0233" w:rsidRPr="00F111CA">
        <w:rPr>
          <w:rFonts w:ascii="Garamond" w:hAnsi="Garamond"/>
        </w:rPr>
        <w:t xml:space="preserve"> Le llamaremos “</w:t>
      </w:r>
      <w:r w:rsidR="00DC0233" w:rsidRPr="00F111CA">
        <w:rPr>
          <w:rFonts w:ascii="Garamond" w:hAnsi="Garamond"/>
          <w:b/>
        </w:rPr>
        <w:t>base de empleo</w:t>
      </w:r>
      <w:r w:rsidR="00DC0233" w:rsidRPr="00F111CA">
        <w:rPr>
          <w:rFonts w:ascii="Garamond" w:hAnsi="Garamond"/>
        </w:rPr>
        <w:t>”.</w:t>
      </w:r>
    </w:p>
    <w:p w:rsidR="00CB7713" w:rsidRPr="00F111CA" w:rsidRDefault="00CB7713" w:rsidP="00CB7713">
      <w:pPr>
        <w:spacing w:line="240" w:lineRule="auto"/>
        <w:jc w:val="both"/>
        <w:rPr>
          <w:rFonts w:ascii="Garamond" w:hAnsi="Garamond"/>
        </w:rPr>
      </w:pPr>
      <w:r w:rsidRPr="00F111CA">
        <w:rPr>
          <w:rFonts w:ascii="Garamond" w:hAnsi="Garamond"/>
        </w:rPr>
        <w:lastRenderedPageBreak/>
        <w:t>El uso de diferentes bases de datos hace que las cifras de inversión o demanda entre un análisis y otro no sean del todo consistentes</w:t>
      </w:r>
      <w:r w:rsidR="004D665D" w:rsidRPr="00F111CA">
        <w:rPr>
          <w:rFonts w:ascii="Garamond" w:hAnsi="Garamond"/>
        </w:rPr>
        <w:t xml:space="preserve"> y comparables entre sí</w:t>
      </w:r>
      <w:r w:rsidRPr="00F111CA">
        <w:rPr>
          <w:rFonts w:ascii="Garamond" w:hAnsi="Garamond"/>
        </w:rPr>
        <w:t>.</w:t>
      </w:r>
    </w:p>
    <w:p w:rsidR="00CB7713" w:rsidRPr="00F111CA" w:rsidRDefault="00CB7713" w:rsidP="00CB7713">
      <w:pPr>
        <w:spacing w:line="240" w:lineRule="auto"/>
        <w:jc w:val="both"/>
        <w:rPr>
          <w:rFonts w:ascii="Garamond" w:hAnsi="Garamond"/>
        </w:rPr>
      </w:pPr>
      <w:r w:rsidRPr="00F111CA">
        <w:rPr>
          <w:rFonts w:ascii="Garamond" w:hAnsi="Garamond"/>
        </w:rPr>
        <w:t>Luego de esta introducción, el cuerpo del trabajo se divide, entonces, en 3 secciones principales:</w:t>
      </w:r>
    </w:p>
    <w:p w:rsidR="00CB7713" w:rsidRPr="00F111CA" w:rsidRDefault="00CB7713" w:rsidP="00CB7713">
      <w:pPr>
        <w:pStyle w:val="Prrafodelista"/>
        <w:numPr>
          <w:ilvl w:val="0"/>
          <w:numId w:val="26"/>
        </w:numPr>
        <w:spacing w:line="240" w:lineRule="auto"/>
        <w:contextualSpacing w:val="0"/>
        <w:jc w:val="both"/>
        <w:rPr>
          <w:rFonts w:ascii="Garamond" w:hAnsi="Garamond"/>
        </w:rPr>
      </w:pPr>
      <w:r w:rsidRPr="00F111CA">
        <w:rPr>
          <w:rFonts w:ascii="Garamond" w:hAnsi="Garamond"/>
        </w:rPr>
        <w:t>Demanda de inversión PMU</w:t>
      </w:r>
    </w:p>
    <w:p w:rsidR="00CB7713" w:rsidRPr="00F111CA" w:rsidRDefault="00CB7713" w:rsidP="00CB7713">
      <w:pPr>
        <w:pStyle w:val="Prrafodelista"/>
        <w:numPr>
          <w:ilvl w:val="0"/>
          <w:numId w:val="26"/>
        </w:numPr>
        <w:spacing w:line="240" w:lineRule="auto"/>
        <w:contextualSpacing w:val="0"/>
        <w:jc w:val="both"/>
        <w:rPr>
          <w:rFonts w:ascii="Garamond" w:hAnsi="Garamond"/>
        </w:rPr>
      </w:pPr>
      <w:r w:rsidRPr="00F111CA">
        <w:rPr>
          <w:rFonts w:ascii="Garamond" w:hAnsi="Garamond"/>
        </w:rPr>
        <w:t>Inversión efectiva PMU</w:t>
      </w:r>
    </w:p>
    <w:p w:rsidR="00CB7713" w:rsidRPr="00F111CA" w:rsidRDefault="00CB7713" w:rsidP="00CB7713">
      <w:pPr>
        <w:pStyle w:val="Prrafodelista"/>
        <w:numPr>
          <w:ilvl w:val="0"/>
          <w:numId w:val="26"/>
        </w:numPr>
        <w:spacing w:line="240" w:lineRule="auto"/>
        <w:contextualSpacing w:val="0"/>
        <w:rPr>
          <w:rFonts w:ascii="Garamond" w:hAnsi="Garamond"/>
        </w:rPr>
      </w:pPr>
      <w:r w:rsidRPr="00F111CA">
        <w:rPr>
          <w:rFonts w:ascii="Garamond" w:hAnsi="Garamond"/>
        </w:rPr>
        <w:t>Generación de empleo según fuente (Tradicional y Emergencia) y según forma de ejecución de proyectos (directa o vía licitación).</w:t>
      </w:r>
    </w:p>
    <w:p w:rsidR="00CB7713" w:rsidRPr="00F111CA" w:rsidRDefault="00CB7713" w:rsidP="00CB7713">
      <w:pPr>
        <w:spacing w:line="240" w:lineRule="auto"/>
        <w:rPr>
          <w:rFonts w:ascii="Garamond" w:hAnsi="Garamond"/>
        </w:rPr>
      </w:pPr>
      <w:r w:rsidRPr="00F111CA">
        <w:rPr>
          <w:rFonts w:ascii="Garamond" w:hAnsi="Garamond"/>
        </w:rPr>
        <w:t>Finalmente se agrega una sección de conclusiones.</w:t>
      </w:r>
    </w:p>
    <w:p w:rsidR="00CB7713" w:rsidRPr="00F111CA" w:rsidRDefault="00CB7713" w:rsidP="00CB7713">
      <w:pPr>
        <w:rPr>
          <w:rFonts w:ascii="Garamond" w:hAnsi="Garamond"/>
        </w:rPr>
      </w:pPr>
    </w:p>
    <w:p w:rsidR="00CB7713" w:rsidRPr="00F111CA" w:rsidRDefault="00CB7713" w:rsidP="00CB7713">
      <w:pPr>
        <w:pStyle w:val="Prrafodelista"/>
        <w:jc w:val="both"/>
        <w:rPr>
          <w:rFonts w:ascii="Garamond" w:hAnsi="Garamond"/>
        </w:rPr>
      </w:pPr>
    </w:p>
    <w:p w:rsidR="00032434" w:rsidRPr="00F111CA" w:rsidRDefault="00032434">
      <w:pPr>
        <w:rPr>
          <w:rFonts w:ascii="Garamond" w:hAnsi="Garamond"/>
          <w:b/>
          <w:sz w:val="32"/>
        </w:rPr>
      </w:pPr>
      <w:r w:rsidRPr="00F111CA">
        <w:rPr>
          <w:rFonts w:ascii="Garamond" w:hAnsi="Garamond"/>
          <w:b/>
          <w:sz w:val="32"/>
        </w:rPr>
        <w:br w:type="page"/>
      </w:r>
    </w:p>
    <w:p w:rsidR="00FD547B" w:rsidRPr="00F111CA" w:rsidRDefault="00FD547B" w:rsidP="00AB4DFC">
      <w:pPr>
        <w:pStyle w:val="Prrafodelista"/>
        <w:numPr>
          <w:ilvl w:val="0"/>
          <w:numId w:val="18"/>
        </w:numPr>
        <w:spacing w:line="240" w:lineRule="auto"/>
        <w:contextualSpacing w:val="0"/>
        <w:rPr>
          <w:rFonts w:ascii="Garamond" w:hAnsi="Garamond"/>
          <w:b/>
          <w:sz w:val="24"/>
          <w:szCs w:val="24"/>
        </w:rPr>
      </w:pPr>
      <w:r w:rsidRPr="00F111CA">
        <w:rPr>
          <w:rFonts w:ascii="Garamond" w:hAnsi="Garamond"/>
          <w:b/>
          <w:sz w:val="24"/>
          <w:szCs w:val="24"/>
        </w:rPr>
        <w:lastRenderedPageBreak/>
        <w:t>DEMANDA DE INVERSIÓN PMU</w:t>
      </w:r>
    </w:p>
    <w:p w:rsidR="00032434" w:rsidRPr="00F111CA" w:rsidRDefault="00032434" w:rsidP="0022530B">
      <w:pPr>
        <w:pStyle w:val="Prrafodelista"/>
        <w:spacing w:after="120" w:line="240" w:lineRule="auto"/>
        <w:contextualSpacing w:val="0"/>
        <w:rPr>
          <w:rFonts w:ascii="Garamond" w:hAnsi="Garamond"/>
          <w:b/>
        </w:rPr>
      </w:pPr>
    </w:p>
    <w:p w:rsidR="00270676" w:rsidRPr="00F111CA" w:rsidRDefault="006A38F6" w:rsidP="0022530B">
      <w:pPr>
        <w:pStyle w:val="Prrafodelista"/>
        <w:numPr>
          <w:ilvl w:val="0"/>
          <w:numId w:val="19"/>
        </w:numPr>
        <w:spacing w:after="120" w:line="240" w:lineRule="auto"/>
        <w:contextualSpacing w:val="0"/>
        <w:rPr>
          <w:rFonts w:ascii="Garamond" w:hAnsi="Garamond"/>
          <w:b/>
        </w:rPr>
      </w:pPr>
      <w:r w:rsidRPr="00F111CA">
        <w:rPr>
          <w:rFonts w:ascii="Garamond" w:hAnsi="Garamond"/>
          <w:b/>
        </w:rPr>
        <w:t>ÁREAS</w:t>
      </w:r>
      <w:r w:rsidR="00270676" w:rsidRPr="00F111CA">
        <w:rPr>
          <w:rFonts w:ascii="Garamond" w:hAnsi="Garamond"/>
          <w:b/>
        </w:rPr>
        <w:t xml:space="preserve"> DE </w:t>
      </w:r>
      <w:r w:rsidR="00AC6E93" w:rsidRPr="00F111CA">
        <w:rPr>
          <w:rFonts w:ascii="Garamond" w:hAnsi="Garamond"/>
          <w:b/>
        </w:rPr>
        <w:t>DEMANDA DE INVERSIÓN</w:t>
      </w:r>
      <w:r w:rsidR="008C1AF6" w:rsidRPr="00F111CA">
        <w:rPr>
          <w:rFonts w:ascii="Garamond" w:hAnsi="Garamond"/>
          <w:b/>
        </w:rPr>
        <w:t xml:space="preserve"> PMU</w:t>
      </w:r>
    </w:p>
    <w:p w:rsidR="008C1AF6" w:rsidRPr="00F111CA" w:rsidRDefault="00270676" w:rsidP="0022530B">
      <w:pPr>
        <w:spacing w:after="120" w:line="240" w:lineRule="auto"/>
        <w:jc w:val="both"/>
        <w:rPr>
          <w:rFonts w:ascii="Garamond" w:hAnsi="Garamond"/>
        </w:rPr>
      </w:pPr>
      <w:r w:rsidRPr="00F111CA">
        <w:rPr>
          <w:rFonts w:ascii="Garamond" w:hAnsi="Garamond"/>
        </w:rPr>
        <w:t>Para cumplir con el primer objetivo planteado para la presente evaluación, se agrupó a los distintos proyectos</w:t>
      </w:r>
      <w:r w:rsidR="00627FE8" w:rsidRPr="00F111CA">
        <w:rPr>
          <w:rFonts w:ascii="Garamond" w:hAnsi="Garamond"/>
        </w:rPr>
        <w:t xml:space="preserve"> de la cartera </w:t>
      </w:r>
      <w:r w:rsidR="008C1AF6" w:rsidRPr="00F111CA">
        <w:rPr>
          <w:rFonts w:ascii="Garamond" w:hAnsi="Garamond"/>
        </w:rPr>
        <w:t xml:space="preserve">de demanda </w:t>
      </w:r>
      <w:r w:rsidR="009D29BE" w:rsidRPr="00F111CA">
        <w:rPr>
          <w:rFonts w:ascii="Garamond" w:hAnsi="Garamond"/>
        </w:rPr>
        <w:t>entre los años 2013 y 2014</w:t>
      </w:r>
      <w:r w:rsidR="008C1AF6" w:rsidRPr="00F111CA">
        <w:rPr>
          <w:rFonts w:ascii="Garamond" w:hAnsi="Garamond"/>
        </w:rPr>
        <w:t xml:space="preserve"> en ciertas categorías que en adelante llamaremos Áreas</w:t>
      </w:r>
      <w:r w:rsidR="00627FE8" w:rsidRPr="00F111CA">
        <w:rPr>
          <w:rFonts w:ascii="Garamond" w:hAnsi="Garamond"/>
        </w:rPr>
        <w:t xml:space="preserve"> </w:t>
      </w:r>
      <w:r w:rsidR="008C1AF6" w:rsidRPr="00F111CA">
        <w:rPr>
          <w:rFonts w:ascii="Garamond" w:hAnsi="Garamond"/>
        </w:rPr>
        <w:t>de Inversión</w:t>
      </w:r>
      <w:r w:rsidR="00426A5F" w:rsidRPr="00F111CA">
        <w:rPr>
          <w:rFonts w:ascii="Garamond" w:hAnsi="Garamond"/>
        </w:rPr>
        <w:t xml:space="preserve"> de la demanda</w:t>
      </w:r>
      <w:r w:rsidR="008C1AF6" w:rsidRPr="00F111CA">
        <w:rPr>
          <w:rFonts w:ascii="Garamond" w:hAnsi="Garamond"/>
        </w:rPr>
        <w:t xml:space="preserve">. Se entenderá por cartera de demanda a todos los proyectos postulados a las distintas líneas del Programa, independiente de si han sido </w:t>
      </w:r>
      <w:r w:rsidR="004132FC" w:rsidRPr="00F111CA">
        <w:rPr>
          <w:rFonts w:ascii="Garamond" w:hAnsi="Garamond"/>
        </w:rPr>
        <w:t xml:space="preserve">o no </w:t>
      </w:r>
      <w:r w:rsidR="008C1AF6" w:rsidRPr="00F111CA">
        <w:rPr>
          <w:rFonts w:ascii="Garamond" w:hAnsi="Garamond"/>
        </w:rPr>
        <w:t>aprobados técnicamente, obtenido financiamiento, iniciado ejecución o terminado.</w:t>
      </w:r>
    </w:p>
    <w:p w:rsidR="00676F83" w:rsidRPr="00F111CA" w:rsidRDefault="00627FE8" w:rsidP="0022530B">
      <w:pPr>
        <w:spacing w:after="120" w:line="240" w:lineRule="auto"/>
        <w:jc w:val="both"/>
        <w:rPr>
          <w:rFonts w:ascii="Garamond" w:hAnsi="Garamond"/>
        </w:rPr>
      </w:pPr>
      <w:r w:rsidRPr="00F111CA">
        <w:rPr>
          <w:rFonts w:ascii="Garamond" w:hAnsi="Garamond"/>
        </w:rPr>
        <w:t>Este ejercicio tuvo por objeto</w:t>
      </w:r>
      <w:r w:rsidR="007F5210" w:rsidRPr="00F111CA">
        <w:rPr>
          <w:rFonts w:ascii="Garamond" w:hAnsi="Garamond"/>
        </w:rPr>
        <w:t xml:space="preserve"> cal</w:t>
      </w:r>
      <w:r w:rsidRPr="00F111CA">
        <w:rPr>
          <w:rFonts w:ascii="Garamond" w:hAnsi="Garamond"/>
        </w:rPr>
        <w:t>cular la participación de cada Á</w:t>
      </w:r>
      <w:r w:rsidR="007F5210" w:rsidRPr="00F111CA">
        <w:rPr>
          <w:rFonts w:ascii="Garamond" w:hAnsi="Garamond"/>
        </w:rPr>
        <w:t xml:space="preserve">rea </w:t>
      </w:r>
      <w:r w:rsidRPr="00F111CA">
        <w:rPr>
          <w:rFonts w:ascii="Garamond" w:hAnsi="Garamond"/>
        </w:rPr>
        <w:t xml:space="preserve">de Inversión </w:t>
      </w:r>
      <w:r w:rsidR="00595667" w:rsidRPr="00F111CA">
        <w:rPr>
          <w:rFonts w:ascii="Garamond" w:hAnsi="Garamond"/>
        </w:rPr>
        <w:t xml:space="preserve">en el </w:t>
      </w:r>
      <w:r w:rsidR="007F5210" w:rsidRPr="00F111CA">
        <w:rPr>
          <w:rFonts w:ascii="Garamond" w:hAnsi="Garamond"/>
        </w:rPr>
        <w:t xml:space="preserve">total de </w:t>
      </w:r>
      <w:r w:rsidRPr="00F111CA">
        <w:rPr>
          <w:rFonts w:ascii="Garamond" w:hAnsi="Garamond"/>
        </w:rPr>
        <w:t xml:space="preserve">la cartera del </w:t>
      </w:r>
      <w:r w:rsidR="009D29BE" w:rsidRPr="00F111CA">
        <w:rPr>
          <w:rFonts w:ascii="Garamond" w:hAnsi="Garamond"/>
        </w:rPr>
        <w:t>b</w:t>
      </w:r>
      <w:r w:rsidR="002D4325" w:rsidRPr="00F111CA">
        <w:rPr>
          <w:rFonts w:ascii="Garamond" w:hAnsi="Garamond"/>
        </w:rPr>
        <w:t>ienio</w:t>
      </w:r>
      <w:r w:rsidR="008C1AF6" w:rsidRPr="00F111CA">
        <w:rPr>
          <w:rFonts w:ascii="Garamond" w:hAnsi="Garamond"/>
        </w:rPr>
        <w:t>, de manera de conocer cuáles son los tipos de proyectos que más interesan a los municipios</w:t>
      </w:r>
      <w:r w:rsidR="003C22C0" w:rsidRPr="00F111CA">
        <w:rPr>
          <w:rFonts w:ascii="Garamond" w:hAnsi="Garamond"/>
        </w:rPr>
        <w:t xml:space="preserve"> e</w:t>
      </w:r>
      <w:r w:rsidR="008C1AF6" w:rsidRPr="00F111CA">
        <w:rPr>
          <w:rFonts w:ascii="Garamond" w:hAnsi="Garamond"/>
        </w:rPr>
        <w:t xml:space="preserve"> intendentes.</w:t>
      </w:r>
    </w:p>
    <w:p w:rsidR="004132FC" w:rsidRPr="00F111CA" w:rsidRDefault="00595667" w:rsidP="0022530B">
      <w:pPr>
        <w:spacing w:after="120" w:line="240" w:lineRule="auto"/>
        <w:jc w:val="both"/>
        <w:rPr>
          <w:rFonts w:ascii="Garamond" w:hAnsi="Garamond"/>
        </w:rPr>
      </w:pPr>
      <w:r w:rsidRPr="00F111CA">
        <w:rPr>
          <w:rFonts w:ascii="Garamond" w:hAnsi="Garamond"/>
        </w:rPr>
        <w:t>Para el caso de la demanda, no hay información precisa de tipología</w:t>
      </w:r>
      <w:r w:rsidR="004132FC" w:rsidRPr="00F111CA">
        <w:rPr>
          <w:rFonts w:ascii="Garamond" w:hAnsi="Garamond"/>
        </w:rPr>
        <w:t>s</w:t>
      </w:r>
      <w:r w:rsidRPr="00F111CA">
        <w:rPr>
          <w:rFonts w:ascii="Garamond" w:hAnsi="Garamond"/>
        </w:rPr>
        <w:t xml:space="preserve"> de proyectos, por lo que las</w:t>
      </w:r>
      <w:r w:rsidR="004132FC" w:rsidRPr="00F111CA">
        <w:rPr>
          <w:rFonts w:ascii="Garamond" w:hAnsi="Garamond"/>
        </w:rPr>
        <w:t xml:space="preserve"> áreas fueron definidas en base a los títulos de </w:t>
      </w:r>
      <w:r w:rsidRPr="00F111CA">
        <w:rPr>
          <w:rFonts w:ascii="Garamond" w:hAnsi="Garamond"/>
        </w:rPr>
        <w:t>éstos</w:t>
      </w:r>
      <w:r w:rsidR="004132FC" w:rsidRPr="00F111CA">
        <w:rPr>
          <w:rFonts w:ascii="Garamond" w:hAnsi="Garamond"/>
        </w:rPr>
        <w:t xml:space="preserve">, los cuales sugieren </w:t>
      </w:r>
      <w:r w:rsidR="00BE53DB">
        <w:rPr>
          <w:rFonts w:ascii="Garamond" w:hAnsi="Garamond"/>
        </w:rPr>
        <w:t>18</w:t>
      </w:r>
      <w:r w:rsidR="004132FC" w:rsidRPr="00F111CA">
        <w:rPr>
          <w:rFonts w:ascii="Garamond" w:hAnsi="Garamond"/>
        </w:rPr>
        <w:t xml:space="preserve"> tipologías gruesas que serán nuestras Áreas de Inversión.</w:t>
      </w:r>
    </w:p>
    <w:p w:rsidR="0022530B" w:rsidRPr="00F111CA" w:rsidRDefault="00A509EC" w:rsidP="0022530B">
      <w:pPr>
        <w:spacing w:after="120" w:line="240" w:lineRule="auto"/>
        <w:jc w:val="both"/>
        <w:rPr>
          <w:rFonts w:ascii="Garamond" w:hAnsi="Garamond"/>
        </w:rPr>
      </w:pPr>
      <w:r w:rsidRPr="00F111CA">
        <w:rPr>
          <w:rFonts w:ascii="Garamond" w:hAnsi="Garamond"/>
        </w:rPr>
        <w:t xml:space="preserve">Dado que la información que ofrece el título de un proyecto es limitada, las </w:t>
      </w:r>
      <w:r w:rsidR="00BE53DB">
        <w:rPr>
          <w:rFonts w:ascii="Garamond" w:hAnsi="Garamond"/>
        </w:rPr>
        <w:t>18</w:t>
      </w:r>
      <w:r w:rsidRPr="00F111CA">
        <w:rPr>
          <w:rFonts w:ascii="Garamond" w:hAnsi="Garamond"/>
        </w:rPr>
        <w:t xml:space="preserve"> categorías </w:t>
      </w:r>
      <w:r w:rsidR="0022530B" w:rsidRPr="00F111CA">
        <w:rPr>
          <w:rFonts w:ascii="Garamond" w:hAnsi="Garamond"/>
        </w:rPr>
        <w:t>tienen márgenes de imprecisión.</w:t>
      </w:r>
    </w:p>
    <w:p w:rsidR="00A509EC" w:rsidRPr="00F111CA" w:rsidRDefault="00426A5F" w:rsidP="0022530B">
      <w:pPr>
        <w:spacing w:after="120" w:line="240" w:lineRule="auto"/>
        <w:jc w:val="both"/>
        <w:rPr>
          <w:rFonts w:ascii="Garamond" w:hAnsi="Garamond"/>
        </w:rPr>
      </w:pPr>
      <w:r w:rsidRPr="00F111CA">
        <w:rPr>
          <w:rFonts w:ascii="Garamond" w:hAnsi="Garamond"/>
        </w:rPr>
        <w:t>Aquellas áreas que no pudieron ser asignadas por la imprecisión de los títulos, o por su imposibilidad de clasificación, fueron agrupadas bajo la categoría “Otras obras Urba</w:t>
      </w:r>
      <w:r w:rsidR="005607C6" w:rsidRPr="00F111CA">
        <w:rPr>
          <w:rFonts w:ascii="Garamond" w:hAnsi="Garamond"/>
        </w:rPr>
        <w:t>n</w:t>
      </w:r>
      <w:r w:rsidRPr="00F111CA">
        <w:rPr>
          <w:rFonts w:ascii="Garamond" w:hAnsi="Garamond"/>
        </w:rPr>
        <w:t>o/rurales”</w:t>
      </w:r>
      <w:r w:rsidR="0022530B" w:rsidRPr="00F111CA">
        <w:rPr>
          <w:rFonts w:ascii="Garamond" w:hAnsi="Garamond"/>
        </w:rPr>
        <w:t xml:space="preserve"> y “Varios”. La primera </w:t>
      </w:r>
      <w:r w:rsidR="00A509EC" w:rsidRPr="00F111CA">
        <w:rPr>
          <w:rFonts w:ascii="Garamond" w:hAnsi="Garamond"/>
        </w:rPr>
        <w:t>agrupa a todos aquellos proyectos que no pudieron incluirse en alguna de las otras 1</w:t>
      </w:r>
      <w:r w:rsidR="009D29BE" w:rsidRPr="00F111CA">
        <w:rPr>
          <w:rFonts w:ascii="Garamond" w:hAnsi="Garamond"/>
        </w:rPr>
        <w:t>8</w:t>
      </w:r>
      <w:r w:rsidR="0022530B" w:rsidRPr="00F111CA">
        <w:rPr>
          <w:rFonts w:ascii="Garamond" w:hAnsi="Garamond"/>
        </w:rPr>
        <w:t xml:space="preserve"> Áreas e incorpora </w:t>
      </w:r>
      <w:r w:rsidR="00252F8C" w:rsidRPr="00F111CA">
        <w:rPr>
          <w:rFonts w:ascii="Garamond" w:hAnsi="Garamond"/>
        </w:rPr>
        <w:t>proyectos de señalética vial urbana y no urbana, construcción o instalación de refugios en paradas de transporte público, construcción de estacionamientos, limpieza de calles, cruces, aceras, dispositivos de seguridad vial, entre otras.</w:t>
      </w:r>
      <w:r w:rsidR="00A509EC" w:rsidRPr="00F111CA">
        <w:rPr>
          <w:rFonts w:ascii="Garamond" w:hAnsi="Garamond"/>
        </w:rPr>
        <w:t xml:space="preserve"> </w:t>
      </w:r>
      <w:r w:rsidR="0022530B" w:rsidRPr="00F111CA">
        <w:rPr>
          <w:rFonts w:ascii="Garamond" w:hAnsi="Garamond"/>
        </w:rPr>
        <w:t xml:space="preserve">La categoría </w:t>
      </w:r>
      <w:r w:rsidR="00A509EC" w:rsidRPr="00F111CA">
        <w:rPr>
          <w:rFonts w:ascii="Garamond" w:hAnsi="Garamond"/>
        </w:rPr>
        <w:t xml:space="preserve">“Varios”, </w:t>
      </w:r>
      <w:r w:rsidR="0022530B" w:rsidRPr="00F111CA">
        <w:rPr>
          <w:rFonts w:ascii="Garamond" w:hAnsi="Garamond"/>
        </w:rPr>
        <w:t>por su parte,</w:t>
      </w:r>
      <w:r w:rsidR="00A509EC" w:rsidRPr="00F111CA">
        <w:rPr>
          <w:rFonts w:ascii="Garamond" w:hAnsi="Garamond"/>
        </w:rPr>
        <w:t xml:space="preserve"> agrupa a aquellos proyectos que</w:t>
      </w:r>
      <w:r w:rsidR="0022530B" w:rsidRPr="00F111CA">
        <w:rPr>
          <w:rFonts w:ascii="Garamond" w:hAnsi="Garamond"/>
        </w:rPr>
        <w:t>,</w:t>
      </w:r>
      <w:r w:rsidR="00A509EC" w:rsidRPr="00F111CA">
        <w:rPr>
          <w:rFonts w:ascii="Garamond" w:hAnsi="Garamond"/>
        </w:rPr>
        <w:t xml:space="preserve"> bajo un único nombre y presupuesto, contemplan inversión en más de una de las demás categorías</w:t>
      </w:r>
      <w:r w:rsidR="0022530B" w:rsidRPr="00F111CA">
        <w:rPr>
          <w:rFonts w:ascii="Garamond" w:hAnsi="Garamond"/>
        </w:rPr>
        <w:t xml:space="preserve"> (Áreas)</w:t>
      </w:r>
      <w:r w:rsidR="00A509EC" w:rsidRPr="00F111CA">
        <w:rPr>
          <w:rFonts w:ascii="Garamond" w:hAnsi="Garamond"/>
        </w:rPr>
        <w:t>.</w:t>
      </w:r>
    </w:p>
    <w:p w:rsidR="0072731B" w:rsidRPr="00F111CA" w:rsidRDefault="00A509EC" w:rsidP="0022530B">
      <w:pPr>
        <w:spacing w:after="120" w:line="240" w:lineRule="auto"/>
        <w:jc w:val="both"/>
        <w:rPr>
          <w:rFonts w:ascii="Garamond" w:hAnsi="Garamond"/>
        </w:rPr>
      </w:pPr>
      <w:r w:rsidRPr="00F111CA">
        <w:rPr>
          <w:rFonts w:ascii="Garamond" w:hAnsi="Garamond"/>
        </w:rPr>
        <w:t xml:space="preserve">Finalmente, las </w:t>
      </w:r>
      <w:r w:rsidR="00BE53DB">
        <w:rPr>
          <w:rFonts w:ascii="Garamond" w:hAnsi="Garamond"/>
        </w:rPr>
        <w:t>18</w:t>
      </w:r>
      <w:r w:rsidRPr="00F111CA">
        <w:rPr>
          <w:rFonts w:ascii="Garamond" w:hAnsi="Garamond"/>
        </w:rPr>
        <w:t xml:space="preserve"> Áreas de Inversión son las que se muestran en la Tabla N° 1</w:t>
      </w:r>
      <w:r w:rsidR="00426A5F" w:rsidRPr="00F111CA">
        <w:rPr>
          <w:rStyle w:val="Refdenotaalpie"/>
          <w:rFonts w:ascii="Garamond" w:hAnsi="Garamond"/>
        </w:rPr>
        <w:footnoteReference w:id="1"/>
      </w:r>
      <w:r w:rsidRPr="00F111CA">
        <w:rPr>
          <w:rFonts w:ascii="Garamond" w:hAnsi="Garamond"/>
        </w:rPr>
        <w:t>.</w:t>
      </w:r>
      <w:r w:rsidR="0022530B" w:rsidRPr="00F111CA">
        <w:rPr>
          <w:rFonts w:ascii="Garamond" w:hAnsi="Garamond"/>
        </w:rPr>
        <w:t xml:space="preserve"> Como l</w:t>
      </w:r>
      <w:r w:rsidR="0072731B" w:rsidRPr="00F111CA">
        <w:rPr>
          <w:rFonts w:ascii="Garamond" w:hAnsi="Garamond"/>
        </w:rPr>
        <w:t>a información de 2014 disponible sólo cubre los primeros 5 meses del año, la mayor parte del análisis se hará sobre las ci</w:t>
      </w:r>
      <w:r w:rsidR="0022530B" w:rsidRPr="00F111CA">
        <w:rPr>
          <w:rFonts w:ascii="Garamond" w:hAnsi="Garamond"/>
        </w:rPr>
        <w:t>fras acumuladas 2013</w:t>
      </w:r>
      <w:r w:rsidR="006B50AC" w:rsidRPr="00F111CA">
        <w:rPr>
          <w:rFonts w:ascii="Garamond" w:hAnsi="Garamond"/>
        </w:rPr>
        <w:t xml:space="preserve"> </w:t>
      </w:r>
      <w:r w:rsidR="0022530B" w:rsidRPr="00F111CA">
        <w:rPr>
          <w:rFonts w:ascii="Garamond" w:hAnsi="Garamond"/>
        </w:rPr>
        <w:t>-</w:t>
      </w:r>
      <w:r w:rsidR="006B50AC" w:rsidRPr="00F111CA">
        <w:rPr>
          <w:rFonts w:ascii="Garamond" w:hAnsi="Garamond"/>
        </w:rPr>
        <w:t xml:space="preserve"> </w:t>
      </w:r>
      <w:r w:rsidR="0022530B" w:rsidRPr="00F111CA">
        <w:rPr>
          <w:rFonts w:ascii="Garamond" w:hAnsi="Garamond"/>
        </w:rPr>
        <w:t>mayo 2014.</w:t>
      </w:r>
    </w:p>
    <w:p w:rsidR="006B50AC" w:rsidRPr="00F111CA" w:rsidRDefault="006B50AC" w:rsidP="0022530B">
      <w:pPr>
        <w:spacing w:after="120" w:line="240" w:lineRule="auto"/>
        <w:jc w:val="both"/>
        <w:rPr>
          <w:rFonts w:ascii="Garamond" w:hAnsi="Garamond"/>
        </w:rPr>
        <w:sectPr w:rsidR="006B50AC" w:rsidRPr="00F111CA" w:rsidSect="00057810">
          <w:headerReference w:type="default" r:id="rId8"/>
          <w:footerReference w:type="default" r:id="rId9"/>
          <w:headerReference w:type="first" r:id="rId10"/>
          <w:pgSz w:w="12240" w:h="15840"/>
          <w:pgMar w:top="1985" w:right="1701" w:bottom="1985" w:left="1701" w:header="709" w:footer="709" w:gutter="0"/>
          <w:pgNumType w:start="0"/>
          <w:cols w:space="708"/>
          <w:titlePg/>
          <w:docGrid w:linePitch="360"/>
        </w:sectPr>
      </w:pPr>
    </w:p>
    <w:p w:rsidR="00270676" w:rsidRPr="00F111CA" w:rsidRDefault="00A509EC" w:rsidP="00E87CE4">
      <w:pPr>
        <w:spacing w:after="120" w:line="240" w:lineRule="auto"/>
        <w:ind w:left="-426"/>
        <w:jc w:val="center"/>
        <w:rPr>
          <w:rFonts w:ascii="Garamond" w:hAnsi="Garamond"/>
        </w:rPr>
      </w:pPr>
      <w:r w:rsidRPr="00F111CA">
        <w:rPr>
          <w:rFonts w:ascii="Garamond" w:hAnsi="Garamond"/>
        </w:rPr>
        <w:lastRenderedPageBreak/>
        <w:t>TABLA N° 1: ÁREAS DE INVERSIÓN EN CARTERA DE DEMANDA, RECURSOS DEMANDADOS</w:t>
      </w:r>
      <w:r w:rsidR="00D64388" w:rsidRPr="00F111CA">
        <w:rPr>
          <w:rFonts w:ascii="Garamond" w:hAnsi="Garamond"/>
        </w:rPr>
        <w:t>, NÚMERO DE PROYECTOS</w:t>
      </w:r>
      <w:r w:rsidRPr="00F111CA">
        <w:rPr>
          <w:rFonts w:ascii="Garamond" w:hAnsi="Garamond"/>
        </w:rPr>
        <w:t xml:space="preserve"> Y PARTICIPACIÓN DE CADA ÁREA</w:t>
      </w:r>
      <w:r w:rsidR="00465215" w:rsidRPr="00F111CA">
        <w:rPr>
          <w:rStyle w:val="Refdenotaalpie"/>
          <w:rFonts w:ascii="Garamond" w:hAnsi="Garamond"/>
        </w:rPr>
        <w:footnoteReference w:id="2"/>
      </w:r>
      <w:r w:rsidR="00426A5F" w:rsidRPr="00F111CA">
        <w:rPr>
          <w:rFonts w:ascii="Garamond" w:hAnsi="Garamond"/>
        </w:rPr>
        <w:t xml:space="preserve"> 2013 – </w:t>
      </w:r>
      <w:r w:rsidR="0072731B" w:rsidRPr="00F111CA">
        <w:rPr>
          <w:rFonts w:ascii="Garamond" w:hAnsi="Garamond"/>
        </w:rPr>
        <w:t xml:space="preserve">MAYO </w:t>
      </w:r>
      <w:r w:rsidR="00426A5F" w:rsidRPr="00F111CA">
        <w:rPr>
          <w:rFonts w:ascii="Garamond" w:hAnsi="Garamond"/>
        </w:rPr>
        <w:t>2014</w:t>
      </w:r>
    </w:p>
    <w:tbl>
      <w:tblPr>
        <w:tblW w:w="5000" w:type="pct"/>
        <w:jc w:val="center"/>
        <w:tblCellMar>
          <w:left w:w="70" w:type="dxa"/>
          <w:right w:w="70" w:type="dxa"/>
        </w:tblCellMar>
        <w:tblLook w:val="04A0" w:firstRow="1" w:lastRow="0" w:firstColumn="1" w:lastColumn="0" w:noHBand="0" w:noVBand="1"/>
      </w:tblPr>
      <w:tblGrid>
        <w:gridCol w:w="2924"/>
        <w:gridCol w:w="1338"/>
        <w:gridCol w:w="754"/>
        <w:gridCol w:w="543"/>
        <w:gridCol w:w="754"/>
        <w:gridCol w:w="1247"/>
        <w:gridCol w:w="754"/>
        <w:gridCol w:w="543"/>
        <w:gridCol w:w="754"/>
        <w:gridCol w:w="1338"/>
        <w:gridCol w:w="754"/>
        <w:gridCol w:w="543"/>
        <w:gridCol w:w="748"/>
      </w:tblGrid>
      <w:tr w:rsidR="008B0D69" w:rsidRPr="00057810" w:rsidTr="00E87CE4">
        <w:trPr>
          <w:jc w:val="center"/>
        </w:trPr>
        <w:tc>
          <w:tcPr>
            <w:tcW w:w="11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30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B0D69" w:rsidRPr="00057810" w:rsidRDefault="008B0D69" w:rsidP="008B0D69">
            <w:pPr>
              <w:spacing w:after="0" w:line="240" w:lineRule="auto"/>
              <w:jc w:val="center"/>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2013</w:t>
            </w:r>
          </w:p>
        </w:tc>
        <w:tc>
          <w:tcPr>
            <w:tcW w:w="126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B0D69" w:rsidRPr="00057810" w:rsidRDefault="008B0D69" w:rsidP="008B0D69">
            <w:pPr>
              <w:spacing w:after="0" w:line="240" w:lineRule="auto"/>
              <w:jc w:val="center"/>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2014</w:t>
            </w:r>
            <w:r w:rsidR="0072731B" w:rsidRPr="00057810">
              <w:rPr>
                <w:rFonts w:ascii="Garamond" w:eastAsia="Times New Roman" w:hAnsi="Garamond" w:cs="Times New Roman"/>
                <w:b/>
                <w:bCs/>
                <w:color w:val="000000"/>
                <w:sz w:val="18"/>
                <w:szCs w:val="18"/>
                <w:lang w:eastAsia="es-CL"/>
              </w:rPr>
              <w:t xml:space="preserve"> (mayo)</w:t>
            </w:r>
          </w:p>
        </w:tc>
        <w:tc>
          <w:tcPr>
            <w:tcW w:w="1302" w:type="pct"/>
            <w:gridSpan w:val="4"/>
            <w:tcBorders>
              <w:top w:val="single" w:sz="4" w:space="0" w:color="auto"/>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center"/>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BIENIO</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CATEGORÍA</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N°</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N°</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N°</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rPr>
                <w:rFonts w:ascii="Garamond" w:eastAsia="Times New Roman" w:hAnsi="Garamond" w:cs="Times New Roman"/>
                <w:b/>
                <w:bCs/>
                <w:color w:val="000000"/>
                <w:sz w:val="18"/>
                <w:szCs w:val="18"/>
                <w:lang w:eastAsia="es-CL"/>
              </w:rPr>
            </w:pPr>
            <w:r w:rsidRPr="00057810">
              <w:rPr>
                <w:rFonts w:ascii="Garamond" w:eastAsia="Times New Roman" w:hAnsi="Garamond" w:cs="Times New Roman"/>
                <w:b/>
                <w:bCs/>
                <w:color w:val="000000"/>
                <w:sz w:val="18"/>
                <w:szCs w:val="18"/>
                <w:lang w:eastAsia="es-CL"/>
              </w:rPr>
              <w:t>%</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Alumbrado</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1.888.427.691</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1,59%</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51</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1,62%</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3.252.142.166</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3,89%</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86</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3,21%</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5.140.569.857</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2,54%</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137</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2,35%</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Áreas verdes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15.352.755.058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12,92%</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394</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12,49%</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9.930.507.621</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11,88%</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288</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10,75%</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25.283.262.679</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12,49%</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682</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11,69%</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Caminos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535.396.285</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0,45%</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0,41%</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774.269.326</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0,93%</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20</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0,75%</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1.309.665.611</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0,65%</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33</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0,57%</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Cementerios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1.359.002.756</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1,14%</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35</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1,11%</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603.911.522</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0,72%</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0,67%</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1.962.914.278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0,97%</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53</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0,91%</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Construcción calles/aceras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11.441.240.049</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9,63%</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301</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9,54%</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13.479.720.431</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16,13%</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359</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13,41%</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24.920.960.480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12,31%</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660</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11,32%</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Espacio activo</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1.846.587.808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1,55%</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90</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2,85%</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1.846.587.808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0,91%</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90</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1,54%</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Infraestructura de salud</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1.944.693.449</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1,64%</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56</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1,78%</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838.640.468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23</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0,86%</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2.783.333.917</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1,38%</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79</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1,35%</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Infraestructura deportiva</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18.361.466.690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15,46%</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443</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14,05%</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9.200.741.706</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11,01%</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246</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9,19%</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27.562.208.396</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13,62%</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689</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11,81%</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Infraestructura escuelas y liceos</w:t>
            </w:r>
            <w:r w:rsidR="00E87CE4">
              <w:rPr>
                <w:rFonts w:ascii="Garamond" w:eastAsia="Times New Roman" w:hAnsi="Garamond" w:cs="Times New Roman"/>
                <w:color w:val="000000"/>
                <w:sz w:val="18"/>
                <w:szCs w:val="18"/>
                <w:lang w:eastAsia="es-CL"/>
              </w:rPr>
              <w:t>*</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29.140.502.353</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24,53%</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778</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24,67%</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23.640.220.894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28,28%</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1.009</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37,68%</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52.780.723.247</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26,08%</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1.787</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30,64%</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Obras consistoriales/municipales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5.184.940.744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4,36%</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138</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4,38%</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2.809.897.244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3,36%</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80</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2,99%</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7.994.837.988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3,95%</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218</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3,74%</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Otras obras urbanas/rurales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11.281.097.132</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9,50%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291</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9,23%</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6.694.999.239</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8,01%</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194</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7,24%</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17.976.096.371</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8,88%</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485</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8,32%</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Pasarelas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851.544.298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0,72%</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21</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0,67%</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230.192.428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0,28%</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0,34%</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1.081.736.726</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0,53%</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30</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0,51%</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Plaza activa</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4.683.526.574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3,94%</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146</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4,63%</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1.261.516.675</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1,51%</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42</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1,57%</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5.945.043.249</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2,94%</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188</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3,22%</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Riego</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25.319.300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0,02%</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0,03%</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25.319.300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0,01%</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0,02%</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Sedes sociales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12.540.054.969</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10,56%</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327</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10,37%</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8.993.161.255</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10,76%</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243</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9,07%</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21.533.216.224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10,64%</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570</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9,77%</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Servicios básicos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1.949.167.610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1,64%</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57</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1,81%</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1.559.114.281</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1,87%</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57</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2,13%</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3.508.281.891</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1,73%</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114</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1,95%</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Varios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305.097.884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0,26%</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0,29%</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E8634E" w:rsidP="008B0D69">
            <w:pPr>
              <w:spacing w:after="0" w:line="240" w:lineRule="auto"/>
              <w:jc w:val="right"/>
              <w:rPr>
                <w:rFonts w:ascii="Garamond" w:eastAsia="Times New Roman" w:hAnsi="Garamond" w:cs="Times New Roman"/>
                <w:color w:val="000000"/>
                <w:sz w:val="18"/>
                <w:szCs w:val="18"/>
                <w:lang w:eastAsia="es-CL"/>
              </w:rPr>
            </w:pPr>
            <w:r>
              <w:rPr>
                <w:rFonts w:ascii="Garamond" w:eastAsia="Times New Roman" w:hAnsi="Garamond" w:cs="Times New Roman"/>
                <w:color w:val="000000"/>
                <w:sz w:val="18"/>
                <w:szCs w:val="18"/>
                <w:lang w:eastAsia="es-CL"/>
              </w:rPr>
              <w:t>320.160.000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E8634E">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r w:rsidR="00E8634E">
              <w:rPr>
                <w:rFonts w:ascii="Garamond" w:eastAsia="Times New Roman" w:hAnsi="Garamond" w:cs="Times New Roman"/>
                <w:color w:val="000000"/>
                <w:sz w:val="18"/>
                <w:szCs w:val="18"/>
                <w:lang w:eastAsia="es-CL"/>
              </w:rPr>
              <w:t>38</w:t>
            </w:r>
            <w:r w:rsidRPr="00057810">
              <w:rPr>
                <w:rFonts w:ascii="Garamond" w:eastAsia="Times New Roman" w:hAnsi="Garamond" w:cs="Times New Roman"/>
                <w:color w:val="000000"/>
                <w:sz w:val="18"/>
                <w:szCs w:val="18"/>
                <w:lang w:eastAsia="es-CL"/>
              </w:rPr>
              <w:t>%</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57294" w:rsidP="008B0D69">
            <w:pPr>
              <w:spacing w:after="0" w:line="240" w:lineRule="auto"/>
              <w:jc w:val="right"/>
              <w:rPr>
                <w:rFonts w:ascii="Garamond" w:eastAsia="Times New Roman" w:hAnsi="Garamond" w:cs="Times New Roman"/>
                <w:color w:val="000000"/>
                <w:sz w:val="18"/>
                <w:szCs w:val="18"/>
                <w:lang w:eastAsia="es-CL"/>
              </w:rPr>
            </w:pPr>
            <w:r>
              <w:rPr>
                <w:rFonts w:ascii="Garamond" w:eastAsia="Times New Roman" w:hAnsi="Garamond" w:cs="Times New Roman"/>
                <w:color w:val="000000"/>
                <w:sz w:val="18"/>
                <w:szCs w:val="18"/>
                <w:lang w:eastAsia="es-CL"/>
              </w:rPr>
              <w:t>4</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5729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r w:rsidR="00857294">
              <w:rPr>
                <w:rFonts w:ascii="Garamond" w:eastAsia="Times New Roman" w:hAnsi="Garamond" w:cs="Times New Roman"/>
                <w:color w:val="000000"/>
                <w:sz w:val="18"/>
                <w:szCs w:val="18"/>
                <w:lang w:eastAsia="es-CL"/>
              </w:rPr>
              <w:t>1</w:t>
            </w:r>
            <w:r w:rsidRPr="00057810">
              <w:rPr>
                <w:rFonts w:ascii="Garamond" w:eastAsia="Times New Roman" w:hAnsi="Garamond" w:cs="Times New Roman"/>
                <w:color w:val="000000"/>
                <w:sz w:val="18"/>
                <w:szCs w:val="18"/>
                <w:lang w:eastAsia="es-CL"/>
              </w:rPr>
              <w:t>4%</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E8634E" w:rsidP="008B0D69">
            <w:pPr>
              <w:spacing w:after="0" w:line="240" w:lineRule="auto"/>
              <w:jc w:val="right"/>
              <w:rPr>
                <w:rFonts w:ascii="Garamond" w:eastAsia="Times New Roman" w:hAnsi="Garamond" w:cs="Times New Roman"/>
                <w:color w:val="000000"/>
                <w:sz w:val="18"/>
                <w:szCs w:val="18"/>
                <w:lang w:eastAsia="es-CL"/>
              </w:rPr>
            </w:pPr>
            <w:r>
              <w:rPr>
                <w:rFonts w:ascii="Garamond" w:eastAsia="Times New Roman" w:hAnsi="Garamond" w:cs="Times New Roman"/>
                <w:color w:val="000000"/>
                <w:sz w:val="18"/>
                <w:szCs w:val="18"/>
                <w:lang w:eastAsia="es-CL"/>
              </w:rPr>
              <w:t>625</w:t>
            </w:r>
            <w:r w:rsidR="008B0D69" w:rsidRPr="00057810">
              <w:rPr>
                <w:rFonts w:ascii="Garamond" w:eastAsia="Times New Roman" w:hAnsi="Garamond" w:cs="Times New Roman"/>
                <w:color w:val="000000"/>
                <w:sz w:val="18"/>
                <w:szCs w:val="18"/>
                <w:lang w:eastAsia="es-CL"/>
              </w:rPr>
              <w:t>.257.884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E8634E">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r w:rsidR="00E8634E">
              <w:rPr>
                <w:rFonts w:ascii="Garamond" w:eastAsia="Times New Roman" w:hAnsi="Garamond" w:cs="Times New Roman"/>
                <w:color w:val="000000"/>
                <w:sz w:val="18"/>
                <w:szCs w:val="18"/>
                <w:lang w:eastAsia="es-CL"/>
              </w:rPr>
              <w:t>31</w:t>
            </w:r>
            <w:r w:rsidRPr="00057810">
              <w:rPr>
                <w:rFonts w:ascii="Garamond" w:eastAsia="Times New Roman" w:hAnsi="Garamond" w:cs="Times New Roman"/>
                <w:color w:val="000000"/>
                <w:sz w:val="18"/>
                <w:szCs w:val="18"/>
                <w:lang w:eastAsia="es-CL"/>
              </w:rPr>
              <w:t>%</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w:t>
            </w:r>
            <w:r w:rsidR="00857294">
              <w:rPr>
                <w:rFonts w:ascii="Garamond" w:eastAsia="Times New Roman" w:hAnsi="Garamond" w:cs="Times New Roman"/>
                <w:color w:val="000000"/>
                <w:sz w:val="18"/>
                <w:szCs w:val="18"/>
                <w:lang w:eastAsia="es-CL"/>
              </w:rPr>
              <w:t>3</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5729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r w:rsidR="00857294">
              <w:rPr>
                <w:rFonts w:ascii="Garamond" w:eastAsia="Times New Roman" w:hAnsi="Garamond" w:cs="Times New Roman"/>
                <w:color w:val="000000"/>
                <w:sz w:val="18"/>
                <w:szCs w:val="18"/>
                <w:lang w:eastAsia="es-CL"/>
              </w:rPr>
              <w:t>22</w:t>
            </w:r>
            <w:r w:rsidRPr="00057810">
              <w:rPr>
                <w:rFonts w:ascii="Garamond" w:eastAsia="Times New Roman" w:hAnsi="Garamond" w:cs="Times New Roman"/>
                <w:color w:val="000000"/>
                <w:sz w:val="18"/>
                <w:szCs w:val="18"/>
                <w:lang w:eastAsia="es-CL"/>
              </w:rPr>
              <w:t>%</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8B0D69">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Vertederos</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112.287.118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0,09%</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0,10%</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112.287.118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0,06%</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0,05%</w:t>
            </w:r>
          </w:p>
        </w:tc>
      </w:tr>
      <w:tr w:rsidR="000E5CA7" w:rsidRPr="00057810" w:rsidTr="00E87CE4">
        <w:trPr>
          <w:jc w:val="center"/>
        </w:trPr>
        <w:tc>
          <w:tcPr>
            <w:tcW w:w="1125" w:type="pct"/>
            <w:tcBorders>
              <w:top w:val="nil"/>
              <w:left w:val="single" w:sz="4" w:space="0" w:color="auto"/>
              <w:bottom w:val="single" w:sz="4" w:space="0" w:color="auto"/>
              <w:right w:val="single" w:sz="4" w:space="0" w:color="auto"/>
            </w:tcBorders>
            <w:shd w:val="clear" w:color="000000" w:fill="D9D9D9"/>
            <w:noWrap/>
            <w:vAlign w:val="bottom"/>
            <w:hideMark/>
          </w:tcPr>
          <w:p w:rsidR="008B0D69" w:rsidRPr="00057810" w:rsidRDefault="009D29BE" w:rsidP="009D29BE">
            <w:pPr>
              <w:spacing w:after="0" w:line="240" w:lineRule="auto"/>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TOTAL</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118.803.107.768</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100,00%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3.154</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100,00%</w:t>
            </w:r>
          </w:p>
        </w:tc>
        <w:tc>
          <w:tcPr>
            <w:tcW w:w="480"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83.589.195.256</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100,00%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2.678</w:t>
            </w:r>
          </w:p>
        </w:tc>
        <w:tc>
          <w:tcPr>
            <w:tcW w:w="290"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100,00%</w:t>
            </w:r>
          </w:p>
        </w:tc>
        <w:tc>
          <w:tcPr>
            <w:tcW w:w="515"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202.392.303.024</w:t>
            </w:r>
          </w:p>
        </w:tc>
        <w:tc>
          <w:tcPr>
            <w:tcW w:w="290" w:type="pct"/>
            <w:tcBorders>
              <w:top w:val="nil"/>
              <w:left w:val="nil"/>
              <w:bottom w:val="single" w:sz="4" w:space="0" w:color="auto"/>
              <w:right w:val="single" w:sz="4" w:space="0" w:color="auto"/>
            </w:tcBorders>
            <w:shd w:val="clear" w:color="000000" w:fill="8DB4E2"/>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100,00%</w:t>
            </w:r>
          </w:p>
        </w:tc>
        <w:tc>
          <w:tcPr>
            <w:tcW w:w="209" w:type="pct"/>
            <w:tcBorders>
              <w:top w:val="nil"/>
              <w:left w:val="nil"/>
              <w:bottom w:val="single" w:sz="4" w:space="0" w:color="auto"/>
              <w:right w:val="single" w:sz="4" w:space="0" w:color="auto"/>
            </w:tcBorders>
            <w:shd w:val="clear" w:color="auto" w:fill="auto"/>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5.832</w:t>
            </w:r>
          </w:p>
        </w:tc>
        <w:tc>
          <w:tcPr>
            <w:tcW w:w="288" w:type="pct"/>
            <w:tcBorders>
              <w:top w:val="nil"/>
              <w:left w:val="nil"/>
              <w:bottom w:val="single" w:sz="4" w:space="0" w:color="auto"/>
              <w:right w:val="single" w:sz="4" w:space="0" w:color="auto"/>
            </w:tcBorders>
            <w:shd w:val="clear" w:color="000000" w:fill="D8E4BC"/>
            <w:noWrap/>
            <w:vAlign w:val="bottom"/>
            <w:hideMark/>
          </w:tcPr>
          <w:p w:rsidR="008B0D69" w:rsidRPr="00057810" w:rsidRDefault="008B0D69" w:rsidP="008B0D69">
            <w:pPr>
              <w:spacing w:after="0" w:line="240" w:lineRule="auto"/>
              <w:jc w:val="right"/>
              <w:rPr>
                <w:rFonts w:ascii="Garamond" w:eastAsia="Times New Roman" w:hAnsi="Garamond" w:cs="Times New Roman"/>
                <w:b/>
                <w:color w:val="000000"/>
                <w:sz w:val="18"/>
                <w:szCs w:val="18"/>
                <w:lang w:eastAsia="es-CL"/>
              </w:rPr>
            </w:pPr>
            <w:r w:rsidRPr="00057810">
              <w:rPr>
                <w:rFonts w:ascii="Garamond" w:eastAsia="Times New Roman" w:hAnsi="Garamond" w:cs="Times New Roman"/>
                <w:b/>
                <w:color w:val="000000"/>
                <w:sz w:val="18"/>
                <w:szCs w:val="18"/>
                <w:lang w:eastAsia="es-CL"/>
              </w:rPr>
              <w:t>100,00%</w:t>
            </w:r>
          </w:p>
        </w:tc>
      </w:tr>
    </w:tbl>
    <w:p w:rsidR="000E5CA7" w:rsidRPr="00F111CA" w:rsidRDefault="00E87CE4" w:rsidP="00E87CE4">
      <w:pPr>
        <w:rPr>
          <w:rFonts w:ascii="Garamond" w:hAnsi="Garamond"/>
          <w:sz w:val="18"/>
          <w:szCs w:val="18"/>
        </w:rPr>
        <w:sectPr w:rsidR="000E5CA7" w:rsidRPr="00F111CA" w:rsidSect="00057810">
          <w:pgSz w:w="15840" w:h="12240" w:orient="landscape"/>
          <w:pgMar w:top="1985" w:right="1418" w:bottom="1985" w:left="1418" w:header="708" w:footer="708" w:gutter="0"/>
          <w:cols w:space="708"/>
          <w:docGrid w:linePitch="360"/>
        </w:sectPr>
      </w:pPr>
      <w:r>
        <w:rPr>
          <w:rFonts w:ascii="Garamond" w:hAnsi="Garamond"/>
          <w:sz w:val="18"/>
          <w:szCs w:val="18"/>
        </w:rPr>
        <w:t>* En esta parte del análisis no se ha separado el Fondo de Infraestructura de Educación (FIE) del total de Infraestructura  Escuelas y Liceos agrupados como área de inversión en nuestro ejercicio. Esta desagregación se verá más adelante, al desagregar también fuente PMU Emergencia y fuente PMU Tradicional.</w:t>
      </w:r>
    </w:p>
    <w:p w:rsidR="009B0C83" w:rsidRPr="00F111CA" w:rsidRDefault="009B0C83" w:rsidP="00D64388">
      <w:pPr>
        <w:spacing w:after="120" w:line="240" w:lineRule="auto"/>
        <w:jc w:val="both"/>
        <w:rPr>
          <w:rFonts w:ascii="Garamond" w:hAnsi="Garamond"/>
        </w:rPr>
      </w:pPr>
      <w:r w:rsidRPr="00F111CA">
        <w:rPr>
          <w:rFonts w:ascii="Garamond" w:hAnsi="Garamond"/>
        </w:rPr>
        <w:lastRenderedPageBreak/>
        <w:t xml:space="preserve">En el Gráfico N° </w:t>
      </w:r>
      <w:r w:rsidR="0033291C" w:rsidRPr="00F111CA">
        <w:rPr>
          <w:rFonts w:ascii="Garamond" w:hAnsi="Garamond"/>
        </w:rPr>
        <w:t>1</w:t>
      </w:r>
      <w:r w:rsidRPr="00F111CA">
        <w:rPr>
          <w:rFonts w:ascii="Garamond" w:hAnsi="Garamond"/>
        </w:rPr>
        <w:t xml:space="preserve"> se muestra la participación</w:t>
      </w:r>
      <w:r w:rsidR="001B733A" w:rsidRPr="00F111CA">
        <w:rPr>
          <w:rFonts w:ascii="Garamond" w:hAnsi="Garamond"/>
        </w:rPr>
        <w:t xml:space="preserve"> porcentual de cada una de las </w:t>
      </w:r>
      <w:r w:rsidR="00BE53DB">
        <w:rPr>
          <w:rFonts w:ascii="Garamond" w:hAnsi="Garamond"/>
        </w:rPr>
        <w:t>18</w:t>
      </w:r>
      <w:r w:rsidR="00513E7A" w:rsidRPr="00F111CA">
        <w:rPr>
          <w:rFonts w:ascii="Garamond" w:hAnsi="Garamond"/>
        </w:rPr>
        <w:t xml:space="preserve"> </w:t>
      </w:r>
      <w:r w:rsidR="001B733A" w:rsidRPr="00F111CA">
        <w:rPr>
          <w:rFonts w:ascii="Garamond" w:hAnsi="Garamond"/>
        </w:rPr>
        <w:t>Á</w:t>
      </w:r>
      <w:r w:rsidRPr="00F111CA">
        <w:rPr>
          <w:rFonts w:ascii="Garamond" w:hAnsi="Garamond"/>
        </w:rPr>
        <w:t xml:space="preserve">reas de </w:t>
      </w:r>
      <w:r w:rsidR="001B733A" w:rsidRPr="00F111CA">
        <w:rPr>
          <w:rFonts w:ascii="Garamond" w:hAnsi="Garamond"/>
        </w:rPr>
        <w:t>I</w:t>
      </w:r>
      <w:r w:rsidRPr="00F111CA">
        <w:rPr>
          <w:rFonts w:ascii="Garamond" w:hAnsi="Garamond"/>
        </w:rPr>
        <w:t>nversión</w:t>
      </w:r>
      <w:r w:rsidR="002F3ADF" w:rsidRPr="00F111CA">
        <w:rPr>
          <w:rFonts w:ascii="Garamond" w:hAnsi="Garamond"/>
        </w:rPr>
        <w:t>, en</w:t>
      </w:r>
      <w:r w:rsidR="00E87CE4">
        <w:rPr>
          <w:rFonts w:ascii="Garamond" w:hAnsi="Garamond"/>
        </w:rPr>
        <w:t>tre los años 2013 y</w:t>
      </w:r>
      <w:r w:rsidR="009D29BE" w:rsidRPr="00F111CA">
        <w:rPr>
          <w:rFonts w:ascii="Garamond" w:hAnsi="Garamond"/>
        </w:rPr>
        <w:t xml:space="preserve"> 2014</w:t>
      </w:r>
      <w:r w:rsidR="00E87CE4">
        <w:rPr>
          <w:rFonts w:ascii="Garamond" w:hAnsi="Garamond"/>
        </w:rPr>
        <w:t xml:space="preserve"> (hasta mayo)</w:t>
      </w:r>
      <w:r w:rsidR="009D29BE" w:rsidRPr="00F111CA">
        <w:rPr>
          <w:rFonts w:ascii="Garamond" w:hAnsi="Garamond"/>
        </w:rPr>
        <w:t xml:space="preserve"> y la suma del bienio.</w:t>
      </w:r>
    </w:p>
    <w:p w:rsidR="0033291C" w:rsidRPr="00F111CA" w:rsidRDefault="0033291C" w:rsidP="00D64388">
      <w:pPr>
        <w:spacing w:after="120" w:line="240" w:lineRule="auto"/>
        <w:rPr>
          <w:rFonts w:ascii="Garamond" w:hAnsi="Garamond"/>
        </w:rPr>
      </w:pPr>
    </w:p>
    <w:p w:rsidR="002E5C6E" w:rsidRPr="00F111CA" w:rsidRDefault="00400B08" w:rsidP="00D64388">
      <w:pPr>
        <w:spacing w:after="120" w:line="240" w:lineRule="auto"/>
        <w:jc w:val="center"/>
        <w:rPr>
          <w:rFonts w:ascii="Garamond" w:hAnsi="Garamond"/>
          <w:noProof/>
          <w:lang w:eastAsia="es-CL"/>
        </w:rPr>
      </w:pPr>
      <w:r w:rsidRPr="00F111CA">
        <w:rPr>
          <w:rFonts w:ascii="Garamond" w:hAnsi="Garamond"/>
        </w:rPr>
        <w:t xml:space="preserve">GRÁFICO N° </w:t>
      </w:r>
      <w:r w:rsidR="0033291C" w:rsidRPr="00F111CA">
        <w:rPr>
          <w:rFonts w:ascii="Garamond" w:hAnsi="Garamond"/>
        </w:rPr>
        <w:t>1</w:t>
      </w:r>
      <w:r w:rsidRPr="00F111CA">
        <w:rPr>
          <w:rFonts w:ascii="Garamond" w:hAnsi="Garamond"/>
        </w:rPr>
        <w:t xml:space="preserve">: </w:t>
      </w:r>
      <w:r w:rsidR="003A53CB" w:rsidRPr="00F111CA">
        <w:rPr>
          <w:rFonts w:ascii="Garamond" w:hAnsi="Garamond"/>
        </w:rPr>
        <w:t xml:space="preserve">ESTRUCTURA </w:t>
      </w:r>
      <w:r w:rsidRPr="00F111CA">
        <w:rPr>
          <w:rFonts w:ascii="Garamond" w:hAnsi="Garamond"/>
        </w:rPr>
        <w:t>DE LA</w:t>
      </w:r>
      <w:r w:rsidR="00FD547B" w:rsidRPr="00F111CA">
        <w:rPr>
          <w:rFonts w:ascii="Garamond" w:hAnsi="Garamond"/>
        </w:rPr>
        <w:t xml:space="preserve"> DEMANDA DE</w:t>
      </w:r>
      <w:r w:rsidRPr="00F111CA">
        <w:rPr>
          <w:rFonts w:ascii="Garamond" w:hAnsi="Garamond"/>
        </w:rPr>
        <w:t xml:space="preserve"> INVERSIÓN</w:t>
      </w:r>
      <w:r w:rsidR="00611B75" w:rsidRPr="00F111CA">
        <w:rPr>
          <w:rFonts w:ascii="Garamond" w:hAnsi="Garamond"/>
        </w:rPr>
        <w:t xml:space="preserve"> POR ÁREA, </w:t>
      </w:r>
      <w:r w:rsidR="00077E99" w:rsidRPr="00F111CA">
        <w:rPr>
          <w:rFonts w:ascii="Garamond" w:hAnsi="Garamond"/>
        </w:rPr>
        <w:t xml:space="preserve">ENERO </w:t>
      </w:r>
      <w:r w:rsidR="00E30DA6" w:rsidRPr="00F111CA">
        <w:rPr>
          <w:rFonts w:ascii="Garamond" w:hAnsi="Garamond"/>
        </w:rPr>
        <w:t>2013-</w:t>
      </w:r>
      <w:r w:rsidR="0072731B" w:rsidRPr="00F111CA">
        <w:rPr>
          <w:rFonts w:ascii="Garamond" w:hAnsi="Garamond"/>
        </w:rPr>
        <w:t xml:space="preserve">MAYO </w:t>
      </w:r>
      <w:r w:rsidR="00E30DA6" w:rsidRPr="00F111CA">
        <w:rPr>
          <w:rFonts w:ascii="Garamond" w:hAnsi="Garamond"/>
        </w:rPr>
        <w:t>2014</w:t>
      </w:r>
      <w:r w:rsidRPr="00F111CA">
        <w:rPr>
          <w:rFonts w:ascii="Garamond" w:hAnsi="Garamond"/>
        </w:rPr>
        <w:t xml:space="preserve"> Y TOTAL </w:t>
      </w:r>
      <w:r w:rsidR="00077E99" w:rsidRPr="00F111CA">
        <w:rPr>
          <w:rFonts w:ascii="Garamond" w:hAnsi="Garamond"/>
        </w:rPr>
        <w:t>ACUMULADO</w:t>
      </w:r>
    </w:p>
    <w:p w:rsidR="006849D6" w:rsidRPr="00F111CA" w:rsidRDefault="00426A5F" w:rsidP="00D64388">
      <w:pPr>
        <w:spacing w:after="120" w:line="240" w:lineRule="auto"/>
        <w:jc w:val="center"/>
        <w:rPr>
          <w:rFonts w:ascii="Garamond" w:hAnsi="Garamond"/>
        </w:rPr>
      </w:pPr>
      <w:r w:rsidRPr="00F111CA">
        <w:rPr>
          <w:rFonts w:ascii="Garamond" w:hAnsi="Garamond"/>
          <w:noProof/>
          <w:lang w:eastAsia="es-CL"/>
        </w:rPr>
        <w:drawing>
          <wp:inline distT="0" distB="0" distL="0" distR="0" wp14:anchorId="7FBF07DE" wp14:editId="508F189C">
            <wp:extent cx="5612130" cy="3604895"/>
            <wp:effectExtent l="0" t="0" r="762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4306" w:rsidRPr="00F111CA" w:rsidRDefault="00DE4306" w:rsidP="00077E99">
      <w:pPr>
        <w:spacing w:after="120" w:line="240" w:lineRule="auto"/>
        <w:jc w:val="both"/>
        <w:rPr>
          <w:rFonts w:ascii="Garamond" w:hAnsi="Garamond"/>
        </w:rPr>
      </w:pPr>
    </w:p>
    <w:p w:rsidR="0019533D" w:rsidRPr="00F111CA" w:rsidRDefault="0019533D" w:rsidP="00077E99">
      <w:pPr>
        <w:spacing w:after="120" w:line="240" w:lineRule="auto"/>
        <w:jc w:val="both"/>
        <w:rPr>
          <w:rFonts w:ascii="Garamond" w:hAnsi="Garamond"/>
        </w:rPr>
      </w:pPr>
      <w:r w:rsidRPr="00F111CA">
        <w:rPr>
          <w:rFonts w:ascii="Garamond" w:hAnsi="Garamond"/>
        </w:rPr>
        <w:t xml:space="preserve">Se </w:t>
      </w:r>
      <w:r w:rsidR="003C22C0" w:rsidRPr="00F111CA">
        <w:rPr>
          <w:rFonts w:ascii="Garamond" w:hAnsi="Garamond"/>
        </w:rPr>
        <w:t xml:space="preserve">observan </w:t>
      </w:r>
      <w:r w:rsidRPr="00F111CA">
        <w:rPr>
          <w:rFonts w:ascii="Garamond" w:hAnsi="Garamond"/>
        </w:rPr>
        <w:t>algunas variaciones menores</w:t>
      </w:r>
      <w:r w:rsidR="0070549D" w:rsidRPr="00F111CA">
        <w:rPr>
          <w:rFonts w:ascii="Garamond" w:hAnsi="Garamond"/>
        </w:rPr>
        <w:t xml:space="preserve"> de un año a otro en la participación de las categorías</w:t>
      </w:r>
      <w:r w:rsidR="00061392" w:rsidRPr="00F111CA">
        <w:rPr>
          <w:rFonts w:ascii="Garamond" w:hAnsi="Garamond"/>
        </w:rPr>
        <w:t xml:space="preserve">. En los </w:t>
      </w:r>
      <w:r w:rsidR="003C22C0" w:rsidRPr="00F111CA">
        <w:rPr>
          <w:rFonts w:ascii="Garamond" w:hAnsi="Garamond"/>
        </w:rPr>
        <w:t xml:space="preserve">2 </w:t>
      </w:r>
      <w:r w:rsidR="00061392" w:rsidRPr="00F111CA">
        <w:rPr>
          <w:rFonts w:ascii="Garamond" w:hAnsi="Garamond"/>
        </w:rPr>
        <w:t xml:space="preserve">años domina por lejos el Área </w:t>
      </w:r>
      <w:r w:rsidR="00FA5365" w:rsidRPr="00F111CA">
        <w:rPr>
          <w:rFonts w:ascii="Garamond" w:hAnsi="Garamond"/>
        </w:rPr>
        <w:t>Infraestructura Escuelas y Liceos</w:t>
      </w:r>
      <w:r w:rsidR="00E87CE4">
        <w:rPr>
          <w:rFonts w:ascii="Garamond" w:hAnsi="Garamond"/>
        </w:rPr>
        <w:t xml:space="preserve"> (incluyendo FIE)</w:t>
      </w:r>
      <w:r w:rsidR="00FA5365" w:rsidRPr="00F111CA">
        <w:rPr>
          <w:rFonts w:ascii="Garamond" w:hAnsi="Garamond"/>
        </w:rPr>
        <w:t xml:space="preserve">, con participaciones en torno al </w:t>
      </w:r>
      <w:r w:rsidR="00653F4A" w:rsidRPr="00F111CA">
        <w:rPr>
          <w:rFonts w:ascii="Garamond" w:hAnsi="Garamond"/>
        </w:rPr>
        <w:t>24-28</w:t>
      </w:r>
      <w:r w:rsidR="00A22237" w:rsidRPr="00F111CA">
        <w:rPr>
          <w:rFonts w:ascii="Garamond" w:hAnsi="Garamond"/>
        </w:rPr>
        <w:t xml:space="preserve"> </w:t>
      </w:r>
      <w:r w:rsidR="00FA5365" w:rsidRPr="00F111CA">
        <w:rPr>
          <w:rFonts w:ascii="Garamond" w:hAnsi="Garamond"/>
        </w:rPr>
        <w:t>%, seguida</w:t>
      </w:r>
      <w:r w:rsidRPr="00F111CA">
        <w:rPr>
          <w:rFonts w:ascii="Garamond" w:hAnsi="Garamond"/>
        </w:rPr>
        <w:t xml:space="preserve"> </w:t>
      </w:r>
      <w:r w:rsidR="00A22237" w:rsidRPr="00F111CA">
        <w:rPr>
          <w:rFonts w:ascii="Garamond" w:hAnsi="Garamond"/>
        </w:rPr>
        <w:t>de</w:t>
      </w:r>
      <w:r w:rsidR="00653F4A" w:rsidRPr="00F111CA">
        <w:rPr>
          <w:rFonts w:ascii="Garamond" w:hAnsi="Garamond"/>
        </w:rPr>
        <w:t xml:space="preserve"> Infraestructura Deportiva, Áreas verdes,</w:t>
      </w:r>
      <w:r w:rsidR="00A22237" w:rsidRPr="00F111CA">
        <w:rPr>
          <w:rFonts w:ascii="Garamond" w:hAnsi="Garamond"/>
        </w:rPr>
        <w:t xml:space="preserve"> Construcción Calles/Aceras, </w:t>
      </w:r>
      <w:r w:rsidR="00FA5365" w:rsidRPr="00F111CA">
        <w:rPr>
          <w:rFonts w:ascii="Garamond" w:hAnsi="Garamond"/>
        </w:rPr>
        <w:t xml:space="preserve">y Sedes Sociales, en partes más o menos </w:t>
      </w:r>
      <w:r w:rsidR="00A22237" w:rsidRPr="00F111CA">
        <w:rPr>
          <w:rFonts w:ascii="Garamond" w:hAnsi="Garamond"/>
        </w:rPr>
        <w:t>similares</w:t>
      </w:r>
      <w:r w:rsidR="001F44DC">
        <w:rPr>
          <w:rFonts w:ascii="Garamond" w:hAnsi="Garamond"/>
        </w:rPr>
        <w:t xml:space="preserve"> (</w:t>
      </w:r>
      <w:r w:rsidR="00FA5365" w:rsidRPr="00F111CA">
        <w:rPr>
          <w:rFonts w:ascii="Garamond" w:hAnsi="Garamond"/>
        </w:rPr>
        <w:t>entre el 1</w:t>
      </w:r>
      <w:r w:rsidR="00653F4A" w:rsidRPr="00F111CA">
        <w:rPr>
          <w:rFonts w:ascii="Garamond" w:hAnsi="Garamond"/>
        </w:rPr>
        <w:t>0,6</w:t>
      </w:r>
      <w:r w:rsidR="00FA5365" w:rsidRPr="00F111CA">
        <w:rPr>
          <w:rFonts w:ascii="Garamond" w:hAnsi="Garamond"/>
        </w:rPr>
        <w:t xml:space="preserve"> y el </w:t>
      </w:r>
      <w:r w:rsidR="001F44DC">
        <w:rPr>
          <w:rFonts w:ascii="Garamond" w:hAnsi="Garamond"/>
        </w:rPr>
        <w:t>13,6</w:t>
      </w:r>
      <w:r w:rsidR="00FA5365" w:rsidRPr="00F111CA">
        <w:rPr>
          <w:rFonts w:ascii="Garamond" w:hAnsi="Garamond"/>
        </w:rPr>
        <w:t xml:space="preserve"> %</w:t>
      </w:r>
      <w:r w:rsidR="001F44DC">
        <w:rPr>
          <w:rFonts w:ascii="Garamond" w:hAnsi="Garamond"/>
        </w:rPr>
        <w:t xml:space="preserve"> en el acumulado)</w:t>
      </w:r>
      <w:r w:rsidR="0070549D" w:rsidRPr="00F111CA">
        <w:rPr>
          <w:rFonts w:ascii="Garamond" w:hAnsi="Garamond"/>
        </w:rPr>
        <w:t>.</w:t>
      </w:r>
      <w:r w:rsidRPr="00F111CA">
        <w:rPr>
          <w:rFonts w:ascii="Garamond" w:hAnsi="Garamond"/>
        </w:rPr>
        <w:t xml:space="preserve"> El área que más aumentó su participación fue la de Construcción de calles y aceras</w:t>
      </w:r>
      <w:r w:rsidR="00077E99" w:rsidRPr="00F111CA">
        <w:rPr>
          <w:rFonts w:ascii="Garamond" w:hAnsi="Garamond"/>
        </w:rPr>
        <w:t>, con</w:t>
      </w:r>
      <w:r w:rsidRPr="00F111CA">
        <w:rPr>
          <w:rFonts w:ascii="Garamond" w:hAnsi="Garamond"/>
        </w:rPr>
        <w:t xml:space="preserve"> 6,</w:t>
      </w:r>
      <w:r w:rsidR="00B956B0" w:rsidRPr="00F111CA">
        <w:rPr>
          <w:rFonts w:ascii="Garamond" w:hAnsi="Garamond"/>
        </w:rPr>
        <w:t>5</w:t>
      </w:r>
      <w:r w:rsidRPr="00F111CA">
        <w:rPr>
          <w:rFonts w:ascii="Garamond" w:hAnsi="Garamond"/>
        </w:rPr>
        <w:t xml:space="preserve"> puntos porcentuales, mientras que </w:t>
      </w:r>
      <w:r w:rsidR="006B50AC" w:rsidRPr="00F111CA">
        <w:rPr>
          <w:rFonts w:ascii="Garamond" w:hAnsi="Garamond"/>
        </w:rPr>
        <w:t xml:space="preserve">el </w:t>
      </w:r>
      <w:r w:rsidRPr="00F111CA">
        <w:rPr>
          <w:rFonts w:ascii="Garamond" w:hAnsi="Garamond"/>
        </w:rPr>
        <w:t>área de Infraestructura Educacional aumentó 3,</w:t>
      </w:r>
      <w:r w:rsidR="00B956B0" w:rsidRPr="00F111CA">
        <w:rPr>
          <w:rFonts w:ascii="Garamond" w:hAnsi="Garamond"/>
        </w:rPr>
        <w:t>8</w:t>
      </w:r>
      <w:r w:rsidRPr="00F111CA">
        <w:rPr>
          <w:rFonts w:ascii="Garamond" w:hAnsi="Garamond"/>
        </w:rPr>
        <w:t xml:space="preserve"> puntos porcentuales, seguida por el área de Alumbrado, </w:t>
      </w:r>
      <w:r w:rsidR="00A22237" w:rsidRPr="00F111CA">
        <w:rPr>
          <w:rFonts w:ascii="Garamond" w:hAnsi="Garamond"/>
        </w:rPr>
        <w:t>que creció</w:t>
      </w:r>
      <w:r w:rsidRPr="00F111CA">
        <w:rPr>
          <w:rFonts w:ascii="Garamond" w:hAnsi="Garamond"/>
        </w:rPr>
        <w:t xml:space="preserve"> en 2,</w:t>
      </w:r>
      <w:r w:rsidR="00B956B0" w:rsidRPr="00F111CA">
        <w:rPr>
          <w:rFonts w:ascii="Garamond" w:hAnsi="Garamond"/>
        </w:rPr>
        <w:t>3</w:t>
      </w:r>
      <w:r w:rsidRPr="00F111CA">
        <w:rPr>
          <w:rFonts w:ascii="Garamond" w:hAnsi="Garamond"/>
        </w:rPr>
        <w:t xml:space="preserve"> </w:t>
      </w:r>
      <w:r w:rsidR="00FC3841">
        <w:rPr>
          <w:rFonts w:ascii="Garamond" w:hAnsi="Garamond"/>
        </w:rPr>
        <w:t>puntos</w:t>
      </w:r>
      <w:r w:rsidRPr="00F111CA">
        <w:rPr>
          <w:rFonts w:ascii="Garamond" w:hAnsi="Garamond"/>
        </w:rPr>
        <w:t>.</w:t>
      </w:r>
    </w:p>
    <w:p w:rsidR="0019533D" w:rsidRPr="00F111CA" w:rsidRDefault="0019533D" w:rsidP="00077E99">
      <w:pPr>
        <w:spacing w:after="120" w:line="240" w:lineRule="auto"/>
        <w:jc w:val="both"/>
        <w:rPr>
          <w:rFonts w:ascii="Garamond" w:hAnsi="Garamond"/>
        </w:rPr>
      </w:pPr>
      <w:r w:rsidRPr="00F111CA">
        <w:rPr>
          <w:rFonts w:ascii="Garamond" w:hAnsi="Garamond"/>
        </w:rPr>
        <w:t xml:space="preserve">Por otro lado, las áreas que más bajaron su participación al año 2014 en la demanda fueron </w:t>
      </w:r>
      <w:r w:rsidR="002C6620" w:rsidRPr="00F111CA">
        <w:rPr>
          <w:rFonts w:ascii="Garamond" w:hAnsi="Garamond"/>
        </w:rPr>
        <w:t xml:space="preserve">Infraestructura Deportiva con una disminución de </w:t>
      </w:r>
      <w:r w:rsidR="00B956B0" w:rsidRPr="00F111CA">
        <w:rPr>
          <w:rFonts w:ascii="Garamond" w:hAnsi="Garamond"/>
        </w:rPr>
        <w:t>4,5</w:t>
      </w:r>
      <w:r w:rsidR="002C6620" w:rsidRPr="00F111CA">
        <w:rPr>
          <w:rFonts w:ascii="Garamond" w:hAnsi="Garamond"/>
        </w:rPr>
        <w:t xml:space="preserve"> </w:t>
      </w:r>
      <w:r w:rsidR="00FC3841">
        <w:rPr>
          <w:rFonts w:ascii="Garamond" w:hAnsi="Garamond"/>
        </w:rPr>
        <w:t>puntos porcentuales</w:t>
      </w:r>
      <w:r w:rsidR="002C6620" w:rsidRPr="00F111CA">
        <w:rPr>
          <w:rFonts w:ascii="Garamond" w:hAnsi="Garamond"/>
        </w:rPr>
        <w:t>, y Áreas verdes con 1,</w:t>
      </w:r>
      <w:r w:rsidR="00B956B0" w:rsidRPr="00F111CA">
        <w:rPr>
          <w:rFonts w:ascii="Garamond" w:hAnsi="Garamond"/>
        </w:rPr>
        <w:t>0</w:t>
      </w:r>
      <w:r w:rsidR="002C6620" w:rsidRPr="00F111CA">
        <w:rPr>
          <w:rFonts w:ascii="Garamond" w:hAnsi="Garamond"/>
        </w:rPr>
        <w:t xml:space="preserve"> </w:t>
      </w:r>
      <w:r w:rsidR="00FC3841">
        <w:rPr>
          <w:rFonts w:ascii="Garamond" w:hAnsi="Garamond"/>
        </w:rPr>
        <w:t>punto</w:t>
      </w:r>
      <w:r w:rsidR="002C6620" w:rsidRPr="00F111CA">
        <w:rPr>
          <w:rFonts w:ascii="Garamond" w:hAnsi="Garamond"/>
        </w:rPr>
        <w:t>.</w:t>
      </w:r>
    </w:p>
    <w:p w:rsidR="0070549D" w:rsidRPr="00F111CA" w:rsidRDefault="00077E99" w:rsidP="00077E99">
      <w:pPr>
        <w:spacing w:after="120" w:line="240" w:lineRule="auto"/>
        <w:jc w:val="both"/>
        <w:rPr>
          <w:rFonts w:ascii="Garamond" w:hAnsi="Garamond"/>
        </w:rPr>
      </w:pPr>
      <w:r w:rsidRPr="00F111CA">
        <w:rPr>
          <w:rFonts w:ascii="Garamond" w:hAnsi="Garamond"/>
        </w:rPr>
        <w:t>Con todo, p</w:t>
      </w:r>
      <w:r w:rsidR="0070549D" w:rsidRPr="00F111CA">
        <w:rPr>
          <w:rFonts w:ascii="Garamond" w:hAnsi="Garamond"/>
        </w:rPr>
        <w:t>odemos afirmar que la estructura de la demanda por financiamiento de proyectos PMU se mantiene</w:t>
      </w:r>
      <w:r w:rsidRPr="00F111CA">
        <w:rPr>
          <w:rFonts w:ascii="Garamond" w:hAnsi="Garamond"/>
        </w:rPr>
        <w:t xml:space="preserve"> bastante</w:t>
      </w:r>
      <w:r w:rsidR="0070549D" w:rsidRPr="00F111CA">
        <w:rPr>
          <w:rFonts w:ascii="Garamond" w:hAnsi="Garamond"/>
        </w:rPr>
        <w:t xml:space="preserve"> </w:t>
      </w:r>
      <w:r w:rsidR="002C6620" w:rsidRPr="00F111CA">
        <w:rPr>
          <w:rFonts w:ascii="Garamond" w:hAnsi="Garamond"/>
        </w:rPr>
        <w:t xml:space="preserve">estable </w:t>
      </w:r>
      <w:r w:rsidRPr="00F111CA">
        <w:rPr>
          <w:rFonts w:ascii="Garamond" w:hAnsi="Garamond"/>
        </w:rPr>
        <w:t xml:space="preserve">en el </w:t>
      </w:r>
      <w:r w:rsidR="00215850" w:rsidRPr="00F111CA">
        <w:rPr>
          <w:rFonts w:ascii="Garamond" w:hAnsi="Garamond"/>
        </w:rPr>
        <w:t xml:space="preserve">breve </w:t>
      </w:r>
      <w:r w:rsidRPr="00F111CA">
        <w:rPr>
          <w:rFonts w:ascii="Garamond" w:hAnsi="Garamond"/>
        </w:rPr>
        <w:t>período</w:t>
      </w:r>
      <w:r w:rsidR="00215850" w:rsidRPr="00F111CA">
        <w:rPr>
          <w:rFonts w:ascii="Garamond" w:hAnsi="Garamond"/>
        </w:rPr>
        <w:t>.</w:t>
      </w:r>
    </w:p>
    <w:p w:rsidR="0070549D" w:rsidRDefault="0070549D" w:rsidP="00077E99">
      <w:pPr>
        <w:spacing w:after="120" w:line="240" w:lineRule="auto"/>
        <w:jc w:val="both"/>
        <w:rPr>
          <w:rFonts w:ascii="Garamond" w:hAnsi="Garamond"/>
        </w:rPr>
      </w:pPr>
    </w:p>
    <w:p w:rsidR="00057810" w:rsidRDefault="00057810">
      <w:pPr>
        <w:rPr>
          <w:rFonts w:ascii="Garamond" w:hAnsi="Garamond"/>
          <w:b/>
        </w:rPr>
      </w:pPr>
      <w:r>
        <w:rPr>
          <w:rFonts w:ascii="Garamond" w:hAnsi="Garamond"/>
          <w:b/>
        </w:rPr>
        <w:br w:type="page"/>
      </w:r>
    </w:p>
    <w:p w:rsidR="00BC0BA5" w:rsidRPr="00F111CA" w:rsidRDefault="00316BBB" w:rsidP="00077E99">
      <w:pPr>
        <w:pStyle w:val="Prrafodelista"/>
        <w:numPr>
          <w:ilvl w:val="0"/>
          <w:numId w:val="19"/>
        </w:numPr>
        <w:spacing w:after="120" w:line="240" w:lineRule="auto"/>
        <w:contextualSpacing w:val="0"/>
        <w:jc w:val="both"/>
        <w:rPr>
          <w:rFonts w:ascii="Garamond" w:hAnsi="Garamond"/>
          <w:b/>
        </w:rPr>
      </w:pPr>
      <w:r w:rsidRPr="00F111CA">
        <w:rPr>
          <w:rFonts w:ascii="Garamond" w:hAnsi="Garamond"/>
          <w:b/>
        </w:rPr>
        <w:lastRenderedPageBreak/>
        <w:t xml:space="preserve">DEMANDA EN </w:t>
      </w:r>
      <w:r w:rsidR="00BC0BA5" w:rsidRPr="00F111CA">
        <w:rPr>
          <w:rFonts w:ascii="Garamond" w:hAnsi="Garamond"/>
          <w:b/>
        </w:rPr>
        <w:t>LÍNEAS MODULARES DEL PROGRAMA</w:t>
      </w:r>
    </w:p>
    <w:p w:rsidR="0070549D" w:rsidRPr="00F111CA" w:rsidRDefault="00202637" w:rsidP="00077E99">
      <w:pPr>
        <w:spacing w:after="120" w:line="240" w:lineRule="auto"/>
        <w:jc w:val="both"/>
        <w:rPr>
          <w:rFonts w:ascii="Garamond" w:hAnsi="Garamond"/>
        </w:rPr>
      </w:pPr>
      <w:r w:rsidRPr="00F111CA">
        <w:rPr>
          <w:rFonts w:ascii="Garamond" w:hAnsi="Garamond"/>
        </w:rPr>
        <w:t xml:space="preserve">La Tabla N° </w:t>
      </w:r>
      <w:r w:rsidR="0070549D" w:rsidRPr="00F111CA">
        <w:rPr>
          <w:rFonts w:ascii="Garamond" w:hAnsi="Garamond"/>
        </w:rPr>
        <w:t>2</w:t>
      </w:r>
      <w:r w:rsidRPr="00F111CA">
        <w:rPr>
          <w:rFonts w:ascii="Garamond" w:hAnsi="Garamond"/>
        </w:rPr>
        <w:t xml:space="preserve"> muestra</w:t>
      </w:r>
      <w:r w:rsidR="007324D1" w:rsidRPr="00F111CA">
        <w:rPr>
          <w:rFonts w:ascii="Garamond" w:hAnsi="Garamond"/>
        </w:rPr>
        <w:t xml:space="preserve">, para el período </w:t>
      </w:r>
      <w:r w:rsidR="00077E99" w:rsidRPr="00F111CA">
        <w:rPr>
          <w:rFonts w:ascii="Garamond" w:hAnsi="Garamond"/>
        </w:rPr>
        <w:t>enero 2013-</w:t>
      </w:r>
      <w:r w:rsidR="0072731B" w:rsidRPr="00F111CA">
        <w:rPr>
          <w:rFonts w:ascii="Garamond" w:hAnsi="Garamond"/>
        </w:rPr>
        <w:t xml:space="preserve">mayo </w:t>
      </w:r>
      <w:r w:rsidR="002C6620" w:rsidRPr="00F111CA">
        <w:rPr>
          <w:rFonts w:ascii="Garamond" w:hAnsi="Garamond"/>
        </w:rPr>
        <w:t>2014</w:t>
      </w:r>
      <w:r w:rsidR="007324D1" w:rsidRPr="00F111CA">
        <w:rPr>
          <w:rFonts w:ascii="Garamond" w:hAnsi="Garamond"/>
        </w:rPr>
        <w:t>,</w:t>
      </w:r>
      <w:r w:rsidRPr="00F111CA">
        <w:rPr>
          <w:rFonts w:ascii="Garamond" w:hAnsi="Garamond"/>
        </w:rPr>
        <w:t xml:space="preserve"> el resumen de número de proyectos y montos involucrados </w:t>
      </w:r>
      <w:r w:rsidR="00FD547B" w:rsidRPr="00F111CA">
        <w:rPr>
          <w:rFonts w:ascii="Garamond" w:hAnsi="Garamond"/>
        </w:rPr>
        <w:t>en la demanda por inversión en</w:t>
      </w:r>
      <w:r w:rsidRPr="00F111CA">
        <w:rPr>
          <w:rFonts w:ascii="Garamond" w:hAnsi="Garamond"/>
        </w:rPr>
        <w:t xml:space="preserve"> las 4 Líneas Modulares</w:t>
      </w:r>
      <w:r w:rsidR="007324D1" w:rsidRPr="00F111CA">
        <w:rPr>
          <w:rFonts w:ascii="Garamond" w:hAnsi="Garamond"/>
        </w:rPr>
        <w:t xml:space="preserve"> que el Gobierno formuló en el </w:t>
      </w:r>
      <w:r w:rsidR="002C6620" w:rsidRPr="00F111CA">
        <w:rPr>
          <w:rFonts w:ascii="Garamond" w:hAnsi="Garamond"/>
        </w:rPr>
        <w:t>año 2011</w:t>
      </w:r>
      <w:r w:rsidR="007324D1" w:rsidRPr="00F111CA">
        <w:rPr>
          <w:rFonts w:ascii="Garamond" w:hAnsi="Garamond"/>
        </w:rPr>
        <w:t>. Se incluyen proyectos en cualquiera de sus etapas:</w:t>
      </w:r>
      <w:r w:rsidRPr="00F111CA">
        <w:rPr>
          <w:rFonts w:ascii="Garamond" w:hAnsi="Garamond"/>
        </w:rPr>
        <w:t xml:space="preserve"> </w:t>
      </w:r>
      <w:r w:rsidR="00077E99" w:rsidRPr="00F111CA">
        <w:rPr>
          <w:rFonts w:ascii="Garamond" w:hAnsi="Garamond"/>
        </w:rPr>
        <w:t xml:space="preserve">desde simplemente </w:t>
      </w:r>
      <w:r w:rsidRPr="00F111CA">
        <w:rPr>
          <w:rFonts w:ascii="Garamond" w:hAnsi="Garamond"/>
        </w:rPr>
        <w:t>postulados</w:t>
      </w:r>
      <w:r w:rsidR="00077E99" w:rsidRPr="00F111CA">
        <w:rPr>
          <w:rFonts w:ascii="Garamond" w:hAnsi="Garamond"/>
        </w:rPr>
        <w:t xml:space="preserve"> hasta </w:t>
      </w:r>
      <w:r w:rsidR="007324D1" w:rsidRPr="00F111CA">
        <w:rPr>
          <w:rFonts w:ascii="Garamond" w:hAnsi="Garamond"/>
        </w:rPr>
        <w:t xml:space="preserve">ejecutados. </w:t>
      </w:r>
      <w:r w:rsidR="00EA50E0" w:rsidRPr="00F111CA">
        <w:rPr>
          <w:rFonts w:ascii="Garamond" w:hAnsi="Garamond"/>
        </w:rPr>
        <w:t>Los datos se</w:t>
      </w:r>
      <w:r w:rsidRPr="00F111CA">
        <w:rPr>
          <w:rFonts w:ascii="Garamond" w:hAnsi="Garamond"/>
        </w:rPr>
        <w:t xml:space="preserve"> representan en los Gráficos N° </w:t>
      </w:r>
      <w:r w:rsidR="00C666FC" w:rsidRPr="00F111CA">
        <w:rPr>
          <w:rFonts w:ascii="Garamond" w:hAnsi="Garamond"/>
        </w:rPr>
        <w:t>2</w:t>
      </w:r>
      <w:r w:rsidRPr="00F111CA">
        <w:rPr>
          <w:rFonts w:ascii="Garamond" w:hAnsi="Garamond"/>
        </w:rPr>
        <w:t xml:space="preserve"> y N° </w:t>
      </w:r>
      <w:r w:rsidR="00C666FC" w:rsidRPr="00F111CA">
        <w:rPr>
          <w:rFonts w:ascii="Garamond" w:hAnsi="Garamond"/>
        </w:rPr>
        <w:t>3</w:t>
      </w:r>
      <w:r w:rsidR="00AC6E93" w:rsidRPr="00F111CA">
        <w:rPr>
          <w:rFonts w:ascii="Garamond" w:hAnsi="Garamond"/>
        </w:rPr>
        <w:t>, por montos de recursos y por números de proyectos, respectivamente.</w:t>
      </w:r>
    </w:p>
    <w:p w:rsidR="00077E99" w:rsidRPr="00F111CA" w:rsidRDefault="00077E99" w:rsidP="00077E99">
      <w:pPr>
        <w:spacing w:after="120" w:line="240" w:lineRule="auto"/>
        <w:jc w:val="both"/>
        <w:rPr>
          <w:rFonts w:ascii="Garamond" w:hAnsi="Garamond"/>
        </w:rPr>
      </w:pPr>
    </w:p>
    <w:p w:rsidR="0070549D" w:rsidRPr="00F111CA" w:rsidRDefault="0070549D" w:rsidP="00077E99">
      <w:pPr>
        <w:spacing w:after="120" w:line="240" w:lineRule="auto"/>
        <w:jc w:val="center"/>
        <w:rPr>
          <w:rFonts w:ascii="Garamond" w:hAnsi="Garamond"/>
        </w:rPr>
      </w:pPr>
      <w:r w:rsidRPr="00F111CA">
        <w:rPr>
          <w:rFonts w:ascii="Garamond" w:hAnsi="Garamond"/>
        </w:rPr>
        <w:t>TABLA N° 2: DEMANDA TOTA</w:t>
      </w:r>
      <w:r w:rsidR="00B956B0" w:rsidRPr="00F111CA">
        <w:rPr>
          <w:rFonts w:ascii="Garamond" w:hAnsi="Garamond"/>
        </w:rPr>
        <w:t>L</w:t>
      </w:r>
      <w:r w:rsidRPr="00F111CA">
        <w:rPr>
          <w:rFonts w:ascii="Garamond" w:hAnsi="Garamond"/>
        </w:rPr>
        <w:t xml:space="preserve"> POR INVERSIÓN E INVERSIÓN APROBADA EN 4 LÍNEAS MODULARES DEL PMU, </w:t>
      </w:r>
      <w:r w:rsidR="001D6F73" w:rsidRPr="00F111CA">
        <w:rPr>
          <w:rFonts w:ascii="Garamond" w:hAnsi="Garamond"/>
        </w:rPr>
        <w:t>2013</w:t>
      </w:r>
      <w:r w:rsidR="00E30DA6" w:rsidRPr="00F111CA">
        <w:rPr>
          <w:rFonts w:ascii="Garamond" w:hAnsi="Garamond"/>
        </w:rPr>
        <w:t>-</w:t>
      </w:r>
      <w:r w:rsidR="0072731B" w:rsidRPr="00F111CA">
        <w:rPr>
          <w:rFonts w:ascii="Garamond" w:hAnsi="Garamond"/>
        </w:rPr>
        <w:t>MAYO</w:t>
      </w:r>
      <w:r w:rsidR="00465D46" w:rsidRPr="00F111CA">
        <w:rPr>
          <w:rFonts w:ascii="Garamond" w:hAnsi="Garamond"/>
        </w:rPr>
        <w:t xml:space="preserve"> </w:t>
      </w:r>
      <w:r w:rsidR="001D6F73" w:rsidRPr="00F111CA">
        <w:rPr>
          <w:rFonts w:ascii="Garamond" w:hAnsi="Garamond"/>
        </w:rPr>
        <w:t>2014</w:t>
      </w:r>
      <w:r w:rsidR="00E30DA6" w:rsidRPr="00F111CA">
        <w:rPr>
          <w:rFonts w:ascii="Garamond" w:hAnsi="Garamond"/>
        </w:rPr>
        <w:t xml:space="preserve"> </w:t>
      </w:r>
      <w:r w:rsidR="00ED0CF3" w:rsidRPr="00F111CA">
        <w:rPr>
          <w:rFonts w:ascii="Garamond" w:hAnsi="Garamond"/>
        </w:rPr>
        <w:t xml:space="preserve">Y </w:t>
      </w:r>
      <w:r w:rsidR="00465D46" w:rsidRPr="00F111CA">
        <w:rPr>
          <w:rFonts w:ascii="Garamond" w:hAnsi="Garamond"/>
        </w:rPr>
        <w:t>ACUMULADO</w:t>
      </w:r>
    </w:p>
    <w:tbl>
      <w:tblPr>
        <w:tblW w:w="5969" w:type="pct"/>
        <w:jc w:val="center"/>
        <w:tblCellMar>
          <w:left w:w="70" w:type="dxa"/>
          <w:right w:w="70" w:type="dxa"/>
        </w:tblCellMar>
        <w:tblLook w:val="04A0" w:firstRow="1" w:lastRow="0" w:firstColumn="1" w:lastColumn="0" w:noHBand="0" w:noVBand="1"/>
      </w:tblPr>
      <w:tblGrid>
        <w:gridCol w:w="1600"/>
        <w:gridCol w:w="1163"/>
        <w:gridCol w:w="988"/>
        <w:gridCol w:w="2130"/>
        <w:gridCol w:w="1344"/>
        <w:gridCol w:w="1946"/>
        <w:gridCol w:w="1873"/>
      </w:tblGrid>
      <w:tr w:rsidR="001D6F73" w:rsidRPr="00F111CA" w:rsidTr="004F4416">
        <w:trPr>
          <w:trHeight w:val="291"/>
          <w:jc w:val="center"/>
        </w:trPr>
        <w:tc>
          <w:tcPr>
            <w:tcW w:w="729"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p>
        </w:tc>
        <w:tc>
          <w:tcPr>
            <w:tcW w:w="534"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p>
        </w:tc>
        <w:tc>
          <w:tcPr>
            <w:tcW w:w="928" w:type="pct"/>
            <w:tcBorders>
              <w:top w:val="single" w:sz="4"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Línea Espacio Activo</w:t>
            </w:r>
          </w:p>
        </w:tc>
        <w:tc>
          <w:tcPr>
            <w:tcW w:w="66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Línea EVS</w:t>
            </w:r>
          </w:p>
        </w:tc>
        <w:tc>
          <w:tcPr>
            <w:tcW w:w="896"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Línea 100 Pasarelas</w:t>
            </w:r>
          </w:p>
        </w:tc>
        <w:tc>
          <w:tcPr>
            <w:tcW w:w="81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Línea Fútbol Calle</w:t>
            </w:r>
          </w:p>
        </w:tc>
      </w:tr>
      <w:tr w:rsidR="001D6F73" w:rsidRPr="00F111CA" w:rsidTr="004F4416">
        <w:trPr>
          <w:trHeight w:val="291"/>
          <w:jc w:val="center"/>
        </w:trPr>
        <w:tc>
          <w:tcPr>
            <w:tcW w:w="729" w:type="pct"/>
            <w:tcBorders>
              <w:top w:val="single" w:sz="4" w:space="0" w:color="auto"/>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2013</w:t>
            </w:r>
          </w:p>
        </w:tc>
        <w:tc>
          <w:tcPr>
            <w:tcW w:w="534" w:type="pct"/>
            <w:tcBorders>
              <w:top w:val="single" w:sz="4"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Aprobados</w:t>
            </w:r>
          </w:p>
        </w:tc>
        <w:tc>
          <w:tcPr>
            <w:tcW w:w="427" w:type="pct"/>
            <w:tcBorders>
              <w:top w:val="single" w:sz="4" w:space="0" w:color="auto"/>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xml:space="preserve">N° </w:t>
            </w:r>
            <w:proofErr w:type="spellStart"/>
            <w:r w:rsidRPr="00F111CA">
              <w:rPr>
                <w:rFonts w:ascii="Garamond" w:eastAsia="Times New Roman" w:hAnsi="Garamond" w:cs="Times New Roman"/>
                <w:color w:val="000000"/>
                <w:lang w:eastAsia="es-CL"/>
              </w:rPr>
              <w:t>Proys</w:t>
            </w:r>
            <w:proofErr w:type="spellEnd"/>
          </w:p>
        </w:tc>
        <w:tc>
          <w:tcPr>
            <w:tcW w:w="928" w:type="pct"/>
            <w:tcBorders>
              <w:top w:val="single" w:sz="4"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11</w:t>
            </w:r>
          </w:p>
        </w:tc>
        <w:tc>
          <w:tcPr>
            <w:tcW w:w="66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35</w:t>
            </w:r>
          </w:p>
        </w:tc>
        <w:tc>
          <w:tcPr>
            <w:tcW w:w="896"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15</w:t>
            </w:r>
          </w:p>
        </w:tc>
        <w:tc>
          <w:tcPr>
            <w:tcW w:w="81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7</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Monto</w:t>
            </w:r>
          </w:p>
        </w:tc>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220.752.340</w:t>
            </w:r>
          </w:p>
        </w:tc>
        <w:tc>
          <w:tcPr>
            <w:tcW w:w="66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1.170.985.164</w:t>
            </w:r>
          </w:p>
        </w:tc>
        <w:tc>
          <w:tcPr>
            <w:tcW w:w="896"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640.198.227</w:t>
            </w:r>
          </w:p>
        </w:tc>
        <w:tc>
          <w:tcPr>
            <w:tcW w:w="81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289.407.877</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Postulados</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xml:space="preserve">N° </w:t>
            </w:r>
            <w:proofErr w:type="spellStart"/>
            <w:r w:rsidRPr="00F111CA">
              <w:rPr>
                <w:rFonts w:ascii="Garamond" w:eastAsia="Times New Roman" w:hAnsi="Garamond" w:cs="Times New Roman"/>
                <w:color w:val="000000"/>
                <w:lang w:eastAsia="es-CL"/>
              </w:rPr>
              <w:t>Proys</w:t>
            </w:r>
            <w:proofErr w:type="spellEnd"/>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69</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59</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17</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4</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Monto</w:t>
            </w:r>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1.484.601.372</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1.725.969.927</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733.620.608</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149.123.575</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Total</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xml:space="preserve">N° </w:t>
            </w:r>
            <w:proofErr w:type="spellStart"/>
            <w:r w:rsidRPr="00F111CA">
              <w:rPr>
                <w:rFonts w:ascii="Garamond" w:eastAsia="Times New Roman" w:hAnsi="Garamond" w:cs="Times New Roman"/>
                <w:b/>
                <w:bCs/>
                <w:color w:val="000000"/>
                <w:lang w:eastAsia="es-CL"/>
              </w:rPr>
              <w:t>Proys</w:t>
            </w:r>
            <w:proofErr w:type="spellEnd"/>
          </w:p>
        </w:tc>
        <w:tc>
          <w:tcPr>
            <w:tcW w:w="928" w:type="pct"/>
            <w:tcBorders>
              <w:top w:val="single" w:sz="4"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80</w:t>
            </w:r>
          </w:p>
        </w:tc>
        <w:tc>
          <w:tcPr>
            <w:tcW w:w="66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94</w:t>
            </w:r>
          </w:p>
        </w:tc>
        <w:tc>
          <w:tcPr>
            <w:tcW w:w="896"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32</w:t>
            </w:r>
          </w:p>
        </w:tc>
        <w:tc>
          <w:tcPr>
            <w:tcW w:w="81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11</w:t>
            </w:r>
          </w:p>
        </w:tc>
      </w:tr>
      <w:tr w:rsidR="001D6F73" w:rsidRPr="00F111CA" w:rsidTr="004F4416">
        <w:trPr>
          <w:trHeight w:val="291"/>
          <w:jc w:val="center"/>
        </w:trPr>
        <w:tc>
          <w:tcPr>
            <w:tcW w:w="729" w:type="pct"/>
            <w:tcBorders>
              <w:top w:val="nil"/>
              <w:left w:val="single" w:sz="8" w:space="0" w:color="auto"/>
              <w:bottom w:val="single" w:sz="4" w:space="0" w:color="auto"/>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Monto</w:t>
            </w:r>
          </w:p>
        </w:tc>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1.705.353.712</w:t>
            </w:r>
          </w:p>
        </w:tc>
        <w:tc>
          <w:tcPr>
            <w:tcW w:w="66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2.896.955.091</w:t>
            </w:r>
          </w:p>
        </w:tc>
        <w:tc>
          <w:tcPr>
            <w:tcW w:w="896"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1.373.818.835</w:t>
            </w:r>
          </w:p>
        </w:tc>
        <w:tc>
          <w:tcPr>
            <w:tcW w:w="81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438.531.452</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2014</w:t>
            </w:r>
            <w:r w:rsidR="0072731B" w:rsidRPr="00F111CA">
              <w:rPr>
                <w:rFonts w:ascii="Garamond" w:eastAsia="Times New Roman" w:hAnsi="Garamond" w:cs="Times New Roman"/>
                <w:b/>
                <w:bCs/>
                <w:color w:val="000000"/>
                <w:lang w:eastAsia="es-CL"/>
              </w:rPr>
              <w:t xml:space="preserve"> (mayo)</w:t>
            </w:r>
          </w:p>
        </w:tc>
        <w:tc>
          <w:tcPr>
            <w:tcW w:w="534"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Aprobados</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xml:space="preserve">N° </w:t>
            </w:r>
            <w:proofErr w:type="spellStart"/>
            <w:r w:rsidRPr="00F111CA">
              <w:rPr>
                <w:rFonts w:ascii="Garamond" w:eastAsia="Times New Roman" w:hAnsi="Garamond" w:cs="Times New Roman"/>
                <w:color w:val="000000"/>
                <w:lang w:eastAsia="es-CL"/>
              </w:rPr>
              <w:t>Proys</w:t>
            </w:r>
            <w:proofErr w:type="spellEnd"/>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2</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5</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Monto</w:t>
            </w:r>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41.127.160</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173.832.242</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Postulados</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xml:space="preserve">N° </w:t>
            </w:r>
            <w:proofErr w:type="spellStart"/>
            <w:r w:rsidRPr="00F111CA">
              <w:rPr>
                <w:rFonts w:ascii="Garamond" w:eastAsia="Times New Roman" w:hAnsi="Garamond" w:cs="Times New Roman"/>
                <w:color w:val="000000"/>
                <w:lang w:eastAsia="es-CL"/>
              </w:rPr>
              <w:t>Proys</w:t>
            </w:r>
            <w:proofErr w:type="spellEnd"/>
          </w:p>
        </w:tc>
        <w:tc>
          <w:tcPr>
            <w:tcW w:w="928" w:type="pct"/>
            <w:tcBorders>
              <w:top w:val="single" w:sz="4"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66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9</w:t>
            </w:r>
          </w:p>
        </w:tc>
        <w:tc>
          <w:tcPr>
            <w:tcW w:w="896"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4</w:t>
            </w:r>
          </w:p>
        </w:tc>
        <w:tc>
          <w:tcPr>
            <w:tcW w:w="81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Monto</w:t>
            </w:r>
          </w:p>
        </w:tc>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66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203.217.890</w:t>
            </w:r>
          </w:p>
        </w:tc>
        <w:tc>
          <w:tcPr>
            <w:tcW w:w="896"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37.745.551</w:t>
            </w:r>
          </w:p>
        </w:tc>
        <w:tc>
          <w:tcPr>
            <w:tcW w:w="81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Arial"/>
                <w:color w:val="000000"/>
                <w:sz w:val="16"/>
                <w:szCs w:val="16"/>
                <w:lang w:eastAsia="es-CL"/>
              </w:rPr>
            </w:pPr>
            <w:r w:rsidRPr="00F111CA">
              <w:rPr>
                <w:rFonts w:ascii="Garamond" w:eastAsia="Times New Roman" w:hAnsi="Garamond" w:cs="Arial"/>
                <w:color w:val="000000"/>
                <w:sz w:val="16"/>
                <w:szCs w:val="16"/>
                <w:lang w:eastAsia="es-CL"/>
              </w:rPr>
              <w:t xml:space="preserve">                  48.416.474 </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Total</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xml:space="preserve">N° </w:t>
            </w:r>
            <w:proofErr w:type="spellStart"/>
            <w:r w:rsidRPr="00F111CA">
              <w:rPr>
                <w:rFonts w:ascii="Garamond" w:eastAsia="Times New Roman" w:hAnsi="Garamond" w:cs="Times New Roman"/>
                <w:b/>
                <w:bCs/>
                <w:color w:val="000000"/>
                <w:lang w:eastAsia="es-CL"/>
              </w:rPr>
              <w:t>Proys</w:t>
            </w:r>
            <w:proofErr w:type="spellEnd"/>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14</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4</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w:t>
            </w:r>
          </w:p>
        </w:tc>
      </w:tr>
      <w:tr w:rsidR="001D6F73" w:rsidRPr="00F111CA" w:rsidTr="004F4416">
        <w:trPr>
          <w:trHeight w:val="305"/>
          <w:jc w:val="center"/>
        </w:trPr>
        <w:tc>
          <w:tcPr>
            <w:tcW w:w="729" w:type="pct"/>
            <w:tcBorders>
              <w:top w:val="nil"/>
              <w:left w:val="single" w:sz="8" w:space="0" w:color="auto"/>
              <w:bottom w:val="single" w:sz="4" w:space="0" w:color="auto"/>
              <w:right w:val="nil"/>
            </w:tcBorders>
            <w:shd w:val="clear" w:color="auto" w:fill="auto"/>
            <w:noWrap/>
            <w:vAlign w:val="bottom"/>
            <w:hideMark/>
          </w:tcPr>
          <w:p w:rsidR="001D6F73" w:rsidRPr="00F111CA" w:rsidRDefault="001D6F73"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Monto</w:t>
            </w:r>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41.127.160</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377.050.132</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37.745.551</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48.416.474</w:t>
            </w:r>
          </w:p>
        </w:tc>
      </w:tr>
      <w:tr w:rsidR="001D6F73" w:rsidRPr="00F111CA" w:rsidTr="004F4416">
        <w:trPr>
          <w:trHeight w:val="291"/>
          <w:jc w:val="center"/>
        </w:trPr>
        <w:tc>
          <w:tcPr>
            <w:tcW w:w="729" w:type="pct"/>
            <w:tcBorders>
              <w:top w:val="single" w:sz="8" w:space="0" w:color="auto"/>
              <w:left w:val="single" w:sz="8" w:space="0" w:color="auto"/>
              <w:bottom w:val="nil"/>
              <w:right w:val="nil"/>
            </w:tcBorders>
            <w:shd w:val="clear" w:color="auto" w:fill="auto"/>
            <w:noWrap/>
            <w:vAlign w:val="bottom"/>
            <w:hideMark/>
          </w:tcPr>
          <w:p w:rsidR="001D6F73" w:rsidRPr="00F111CA" w:rsidRDefault="00465D46" w:rsidP="001D6F73">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ACUMULADO</w:t>
            </w:r>
          </w:p>
        </w:tc>
        <w:tc>
          <w:tcPr>
            <w:tcW w:w="534" w:type="pct"/>
            <w:tcBorders>
              <w:top w:val="single" w:sz="8"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Aprobados</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xml:space="preserve">N° </w:t>
            </w:r>
            <w:proofErr w:type="spellStart"/>
            <w:r w:rsidRPr="00F111CA">
              <w:rPr>
                <w:rFonts w:ascii="Garamond" w:eastAsia="Times New Roman" w:hAnsi="Garamond" w:cs="Times New Roman"/>
                <w:b/>
                <w:bCs/>
                <w:color w:val="000000"/>
                <w:lang w:eastAsia="es-CL"/>
              </w:rPr>
              <w:t>Proys</w:t>
            </w:r>
            <w:proofErr w:type="spellEnd"/>
          </w:p>
        </w:tc>
        <w:tc>
          <w:tcPr>
            <w:tcW w:w="928" w:type="pct"/>
            <w:tcBorders>
              <w:top w:val="single" w:sz="4"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13</w:t>
            </w:r>
          </w:p>
        </w:tc>
        <w:tc>
          <w:tcPr>
            <w:tcW w:w="66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40</w:t>
            </w:r>
          </w:p>
        </w:tc>
        <w:tc>
          <w:tcPr>
            <w:tcW w:w="896"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15</w:t>
            </w:r>
          </w:p>
        </w:tc>
        <w:tc>
          <w:tcPr>
            <w:tcW w:w="81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7</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Monto</w:t>
            </w:r>
          </w:p>
        </w:tc>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261.879.500</w:t>
            </w:r>
          </w:p>
        </w:tc>
        <w:tc>
          <w:tcPr>
            <w:tcW w:w="66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1.344.817.406</w:t>
            </w:r>
          </w:p>
        </w:tc>
        <w:tc>
          <w:tcPr>
            <w:tcW w:w="896"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640.198.227</w:t>
            </w:r>
          </w:p>
        </w:tc>
        <w:tc>
          <w:tcPr>
            <w:tcW w:w="81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289.407.877</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Postulados</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xml:space="preserve">N° </w:t>
            </w:r>
            <w:proofErr w:type="spellStart"/>
            <w:r w:rsidRPr="00F111CA">
              <w:rPr>
                <w:rFonts w:ascii="Garamond" w:eastAsia="Times New Roman" w:hAnsi="Garamond" w:cs="Times New Roman"/>
                <w:b/>
                <w:bCs/>
                <w:color w:val="000000"/>
                <w:lang w:eastAsia="es-CL"/>
              </w:rPr>
              <w:t>Proys</w:t>
            </w:r>
            <w:proofErr w:type="spellEnd"/>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69</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68</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21</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5</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Monto</w:t>
            </w:r>
          </w:p>
        </w:tc>
        <w:tc>
          <w:tcPr>
            <w:tcW w:w="928" w:type="pct"/>
            <w:tcBorders>
              <w:top w:val="nil"/>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1.484.601.372</w:t>
            </w:r>
          </w:p>
        </w:tc>
        <w:tc>
          <w:tcPr>
            <w:tcW w:w="66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1.929.187.817</w:t>
            </w:r>
          </w:p>
        </w:tc>
        <w:tc>
          <w:tcPr>
            <w:tcW w:w="896"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771.366.159</w:t>
            </w:r>
          </w:p>
        </w:tc>
        <w:tc>
          <w:tcPr>
            <w:tcW w:w="818"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197.540.049</w:t>
            </w:r>
          </w:p>
        </w:tc>
      </w:tr>
      <w:tr w:rsidR="001D6F73" w:rsidRPr="00F111CA" w:rsidTr="004F4416">
        <w:trPr>
          <w:trHeight w:val="291"/>
          <w:jc w:val="center"/>
        </w:trPr>
        <w:tc>
          <w:tcPr>
            <w:tcW w:w="729" w:type="pct"/>
            <w:tcBorders>
              <w:top w:val="nil"/>
              <w:left w:val="single" w:sz="8" w:space="0" w:color="auto"/>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Total</w:t>
            </w:r>
          </w:p>
        </w:tc>
        <w:tc>
          <w:tcPr>
            <w:tcW w:w="427" w:type="pct"/>
            <w:tcBorders>
              <w:top w:val="nil"/>
              <w:left w:val="nil"/>
              <w:bottom w:val="nil"/>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xml:space="preserve">N° </w:t>
            </w:r>
            <w:proofErr w:type="spellStart"/>
            <w:r w:rsidRPr="00F111CA">
              <w:rPr>
                <w:rFonts w:ascii="Garamond" w:eastAsia="Times New Roman" w:hAnsi="Garamond" w:cs="Times New Roman"/>
                <w:b/>
                <w:bCs/>
                <w:color w:val="000000"/>
                <w:lang w:eastAsia="es-CL"/>
              </w:rPr>
              <w:t>Proys</w:t>
            </w:r>
            <w:proofErr w:type="spellEnd"/>
          </w:p>
        </w:tc>
        <w:tc>
          <w:tcPr>
            <w:tcW w:w="928" w:type="pct"/>
            <w:tcBorders>
              <w:top w:val="single" w:sz="4" w:space="0" w:color="auto"/>
              <w:left w:val="single" w:sz="4" w:space="0" w:color="auto"/>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82</w:t>
            </w:r>
          </w:p>
        </w:tc>
        <w:tc>
          <w:tcPr>
            <w:tcW w:w="66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108</w:t>
            </w:r>
          </w:p>
        </w:tc>
        <w:tc>
          <w:tcPr>
            <w:tcW w:w="896"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36</w:t>
            </w:r>
          </w:p>
        </w:tc>
        <w:tc>
          <w:tcPr>
            <w:tcW w:w="818" w:type="pct"/>
            <w:tcBorders>
              <w:top w:val="single" w:sz="4" w:space="0" w:color="auto"/>
              <w:left w:val="nil"/>
              <w:bottom w:val="nil"/>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12</w:t>
            </w:r>
          </w:p>
        </w:tc>
      </w:tr>
      <w:tr w:rsidR="001D6F73" w:rsidRPr="00F111CA" w:rsidTr="004F4416">
        <w:trPr>
          <w:trHeight w:val="305"/>
          <w:jc w:val="center"/>
        </w:trPr>
        <w:tc>
          <w:tcPr>
            <w:tcW w:w="729" w:type="pct"/>
            <w:tcBorders>
              <w:top w:val="nil"/>
              <w:left w:val="single" w:sz="8" w:space="0" w:color="auto"/>
              <w:bottom w:val="single" w:sz="8"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534" w:type="pct"/>
            <w:tcBorders>
              <w:top w:val="nil"/>
              <w:left w:val="nil"/>
              <w:bottom w:val="single" w:sz="8" w:space="0" w:color="auto"/>
              <w:right w:val="single" w:sz="4" w:space="0" w:color="auto"/>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427" w:type="pct"/>
            <w:tcBorders>
              <w:top w:val="nil"/>
              <w:left w:val="nil"/>
              <w:bottom w:val="single" w:sz="4" w:space="0" w:color="auto"/>
              <w:right w:val="nil"/>
            </w:tcBorders>
            <w:shd w:val="clear" w:color="auto" w:fill="auto"/>
            <w:noWrap/>
            <w:vAlign w:val="bottom"/>
            <w:hideMark/>
          </w:tcPr>
          <w:p w:rsidR="001D6F73" w:rsidRPr="00F111CA" w:rsidRDefault="001D6F73" w:rsidP="001D6F73">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Monto</w:t>
            </w:r>
          </w:p>
        </w:tc>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1.746.480.872</w:t>
            </w:r>
          </w:p>
        </w:tc>
        <w:tc>
          <w:tcPr>
            <w:tcW w:w="66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3.274.005.223</w:t>
            </w:r>
          </w:p>
        </w:tc>
        <w:tc>
          <w:tcPr>
            <w:tcW w:w="896"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1.411.564.386</w:t>
            </w:r>
          </w:p>
        </w:tc>
        <w:tc>
          <w:tcPr>
            <w:tcW w:w="818" w:type="pct"/>
            <w:tcBorders>
              <w:top w:val="nil"/>
              <w:left w:val="nil"/>
              <w:bottom w:val="single" w:sz="4" w:space="0" w:color="auto"/>
              <w:right w:val="single" w:sz="4" w:space="0" w:color="auto"/>
            </w:tcBorders>
            <w:shd w:val="clear" w:color="auto" w:fill="auto"/>
            <w:noWrap/>
            <w:vAlign w:val="bottom"/>
            <w:hideMark/>
          </w:tcPr>
          <w:p w:rsidR="001D6F73" w:rsidRPr="00F111CA" w:rsidRDefault="001D6F73" w:rsidP="001D6F73">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486.947.926</w:t>
            </w:r>
          </w:p>
        </w:tc>
      </w:tr>
    </w:tbl>
    <w:p w:rsidR="00B501AE" w:rsidRPr="00F111CA" w:rsidRDefault="00B501AE" w:rsidP="00077E99">
      <w:pPr>
        <w:spacing w:after="120" w:line="240" w:lineRule="auto"/>
        <w:jc w:val="center"/>
        <w:rPr>
          <w:rFonts w:ascii="Garamond" w:hAnsi="Garamond"/>
        </w:rPr>
      </w:pPr>
    </w:p>
    <w:p w:rsidR="00F111CA" w:rsidRDefault="00F111CA">
      <w:pPr>
        <w:rPr>
          <w:rFonts w:ascii="Garamond" w:hAnsi="Garamond"/>
        </w:rPr>
      </w:pPr>
      <w:r>
        <w:rPr>
          <w:rFonts w:ascii="Garamond" w:hAnsi="Garamond"/>
        </w:rPr>
        <w:br w:type="page"/>
      </w:r>
    </w:p>
    <w:p w:rsidR="00F111CA" w:rsidRDefault="00F111CA" w:rsidP="00077E99">
      <w:pPr>
        <w:spacing w:after="120" w:line="240" w:lineRule="auto"/>
        <w:jc w:val="center"/>
        <w:rPr>
          <w:rFonts w:ascii="Garamond" w:hAnsi="Garamond"/>
        </w:rPr>
      </w:pPr>
    </w:p>
    <w:p w:rsidR="00202637" w:rsidRPr="00F111CA" w:rsidRDefault="00C666FC" w:rsidP="00077E99">
      <w:pPr>
        <w:spacing w:after="120" w:line="240" w:lineRule="auto"/>
        <w:jc w:val="center"/>
        <w:rPr>
          <w:rFonts w:ascii="Garamond" w:hAnsi="Garamond"/>
        </w:rPr>
      </w:pPr>
      <w:r w:rsidRPr="00F111CA">
        <w:rPr>
          <w:rFonts w:ascii="Garamond" w:hAnsi="Garamond"/>
        </w:rPr>
        <w:t>GRÁFICO N°2</w:t>
      </w:r>
      <w:r w:rsidR="00030572" w:rsidRPr="00F111CA">
        <w:rPr>
          <w:rFonts w:ascii="Garamond" w:hAnsi="Garamond"/>
        </w:rPr>
        <w:t xml:space="preserve">: DEMANDA </w:t>
      </w:r>
      <w:r w:rsidR="004B0CA4" w:rsidRPr="00F111CA">
        <w:rPr>
          <w:rFonts w:ascii="Garamond" w:hAnsi="Garamond"/>
        </w:rPr>
        <w:t>TOTAL POR INVERSIÓN EN 4 LÍNEAS MODULARES DEL PMU, 2013-2014 Y BIENIO, COMO MONTO DE RECURSOS</w:t>
      </w:r>
    </w:p>
    <w:p w:rsidR="004B0CA4" w:rsidRPr="00F111CA" w:rsidRDefault="004B0CA4" w:rsidP="00077E99">
      <w:pPr>
        <w:spacing w:after="120" w:line="240" w:lineRule="auto"/>
        <w:jc w:val="both"/>
        <w:rPr>
          <w:rFonts w:ascii="Garamond" w:hAnsi="Garamond"/>
          <w:b/>
        </w:rPr>
      </w:pPr>
      <w:r w:rsidRPr="00F111CA">
        <w:rPr>
          <w:rFonts w:ascii="Garamond" w:hAnsi="Garamond"/>
          <w:noProof/>
          <w:lang w:eastAsia="es-CL"/>
        </w:rPr>
        <w:drawing>
          <wp:inline distT="0" distB="0" distL="0" distR="0" wp14:anchorId="1EFA5B0A" wp14:editId="56180A6D">
            <wp:extent cx="5612130" cy="2647315"/>
            <wp:effectExtent l="0" t="0" r="7620" b="63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CA4" w:rsidRPr="00F111CA" w:rsidRDefault="004B0CA4" w:rsidP="00077E99">
      <w:pPr>
        <w:spacing w:after="120" w:line="240" w:lineRule="auto"/>
        <w:jc w:val="both"/>
        <w:rPr>
          <w:rFonts w:ascii="Garamond" w:hAnsi="Garamond"/>
          <w:b/>
        </w:rPr>
      </w:pPr>
    </w:p>
    <w:p w:rsidR="004B0CA4" w:rsidRPr="00F111CA" w:rsidRDefault="00C666FC" w:rsidP="00077E99">
      <w:pPr>
        <w:spacing w:after="120" w:line="240" w:lineRule="auto"/>
        <w:jc w:val="center"/>
        <w:rPr>
          <w:rFonts w:ascii="Garamond" w:hAnsi="Garamond"/>
        </w:rPr>
      </w:pPr>
      <w:r w:rsidRPr="00F111CA">
        <w:rPr>
          <w:rFonts w:ascii="Garamond" w:hAnsi="Garamond"/>
        </w:rPr>
        <w:t>GRÁFICO N° 3</w:t>
      </w:r>
      <w:r w:rsidR="004B0CA4" w:rsidRPr="00F111CA">
        <w:rPr>
          <w:rFonts w:ascii="Garamond" w:hAnsi="Garamond"/>
        </w:rPr>
        <w:t>: DEMANDA TOTAL POR INVERSIÓN EN 4 LÍNEAS MODULARES DEL PMU, 2013-</w:t>
      </w:r>
      <w:r w:rsidR="0072731B" w:rsidRPr="00F111CA">
        <w:rPr>
          <w:rFonts w:ascii="Garamond" w:hAnsi="Garamond"/>
        </w:rPr>
        <w:t xml:space="preserve">MAYO </w:t>
      </w:r>
      <w:r w:rsidR="004B0CA4" w:rsidRPr="00F111CA">
        <w:rPr>
          <w:rFonts w:ascii="Garamond" w:hAnsi="Garamond"/>
        </w:rPr>
        <w:t>2014 Y BIENIO, COMO NÚMERO DE PROYECTOS</w:t>
      </w:r>
    </w:p>
    <w:p w:rsidR="004B0CA4" w:rsidRDefault="004B0CA4" w:rsidP="00077E99">
      <w:pPr>
        <w:spacing w:after="120" w:line="240" w:lineRule="auto"/>
        <w:jc w:val="center"/>
        <w:rPr>
          <w:rFonts w:ascii="Garamond" w:hAnsi="Garamond"/>
          <w:b/>
        </w:rPr>
      </w:pPr>
      <w:r w:rsidRPr="00F111CA">
        <w:rPr>
          <w:rFonts w:ascii="Garamond" w:hAnsi="Garamond"/>
          <w:noProof/>
          <w:lang w:eastAsia="es-CL"/>
        </w:rPr>
        <w:drawing>
          <wp:inline distT="0" distB="0" distL="0" distR="0" wp14:anchorId="3837E017" wp14:editId="5FC3291E">
            <wp:extent cx="4572000" cy="2771775"/>
            <wp:effectExtent l="0" t="0" r="0"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7810" w:rsidRPr="00F111CA" w:rsidRDefault="00057810" w:rsidP="00077E99">
      <w:pPr>
        <w:spacing w:after="120" w:line="240" w:lineRule="auto"/>
        <w:jc w:val="center"/>
        <w:rPr>
          <w:rFonts w:ascii="Garamond" w:hAnsi="Garamond"/>
          <w:b/>
        </w:rPr>
      </w:pPr>
    </w:p>
    <w:p w:rsidR="00E05407" w:rsidRPr="00F111CA" w:rsidRDefault="00E05407" w:rsidP="00E05407">
      <w:pPr>
        <w:spacing w:after="120" w:line="240" w:lineRule="auto"/>
        <w:rPr>
          <w:rFonts w:ascii="Garamond" w:hAnsi="Garamond"/>
        </w:rPr>
      </w:pPr>
      <w:r w:rsidRPr="00F111CA">
        <w:rPr>
          <w:rFonts w:ascii="Garamond" w:hAnsi="Garamond"/>
        </w:rPr>
        <w:t xml:space="preserve">La mayor </w:t>
      </w:r>
      <w:r w:rsidR="008F39CC" w:rsidRPr="00F111CA">
        <w:rPr>
          <w:rFonts w:ascii="Garamond" w:hAnsi="Garamond"/>
        </w:rPr>
        <w:t>demanda</w:t>
      </w:r>
      <w:r w:rsidRPr="00F111CA">
        <w:rPr>
          <w:rFonts w:ascii="Garamond" w:hAnsi="Garamond"/>
        </w:rPr>
        <w:t xml:space="preserve"> corresponde a la Línea Elige Vivir Sano, con 108 proyectos y poco más de $ 3.274 millones entre enero 2013 y mayo 2014. En tanto, la Línea Fútbol Calle sólo acumula 12 proyectos, por un monto cercano a los $ 487 millones.</w:t>
      </w:r>
    </w:p>
    <w:p w:rsidR="003633AC" w:rsidRPr="00F111CA" w:rsidRDefault="003633AC" w:rsidP="00077E99">
      <w:pPr>
        <w:pStyle w:val="Prrafodelista"/>
        <w:numPr>
          <w:ilvl w:val="0"/>
          <w:numId w:val="19"/>
        </w:numPr>
        <w:spacing w:after="120" w:line="240" w:lineRule="auto"/>
        <w:contextualSpacing w:val="0"/>
        <w:jc w:val="both"/>
        <w:rPr>
          <w:rFonts w:ascii="Garamond" w:hAnsi="Garamond"/>
          <w:b/>
        </w:rPr>
      </w:pPr>
      <w:r w:rsidRPr="00F111CA">
        <w:rPr>
          <w:rFonts w:ascii="Garamond" w:hAnsi="Garamond"/>
          <w:b/>
        </w:rPr>
        <w:lastRenderedPageBreak/>
        <w:t xml:space="preserve">CORRESPONDENCIA ENTRE </w:t>
      </w:r>
      <w:r w:rsidR="00FD547B" w:rsidRPr="00F111CA">
        <w:rPr>
          <w:rFonts w:ascii="Garamond" w:hAnsi="Garamond"/>
          <w:b/>
        </w:rPr>
        <w:t xml:space="preserve">DEMANDA DE INVERSIÓN POR </w:t>
      </w:r>
      <w:r w:rsidRPr="00F111CA">
        <w:rPr>
          <w:rFonts w:ascii="Garamond" w:hAnsi="Garamond"/>
          <w:b/>
        </w:rPr>
        <w:t xml:space="preserve">LÍNEAS MODULARES Y </w:t>
      </w:r>
      <w:r w:rsidR="00FD547B" w:rsidRPr="00F111CA">
        <w:rPr>
          <w:rFonts w:ascii="Garamond" w:hAnsi="Garamond"/>
          <w:b/>
        </w:rPr>
        <w:t xml:space="preserve">POR </w:t>
      </w:r>
      <w:r w:rsidRPr="00F111CA">
        <w:rPr>
          <w:rFonts w:ascii="Garamond" w:hAnsi="Garamond"/>
          <w:b/>
        </w:rPr>
        <w:t>ÁREAS DE INVERSIÓN</w:t>
      </w:r>
    </w:p>
    <w:p w:rsidR="00352BF9" w:rsidRPr="00F111CA" w:rsidRDefault="00352BF9" w:rsidP="00F948D0">
      <w:pPr>
        <w:spacing w:after="120" w:line="240" w:lineRule="auto"/>
        <w:jc w:val="both"/>
        <w:rPr>
          <w:rFonts w:ascii="Garamond" w:hAnsi="Garamond"/>
        </w:rPr>
      </w:pPr>
      <w:r w:rsidRPr="00F111CA">
        <w:rPr>
          <w:rFonts w:ascii="Garamond" w:hAnsi="Garamond"/>
        </w:rPr>
        <w:t xml:space="preserve">En el ejercicio siguiente, hemos querido </w:t>
      </w:r>
      <w:r w:rsidR="00F877EE" w:rsidRPr="00F111CA">
        <w:rPr>
          <w:rFonts w:ascii="Garamond" w:hAnsi="Garamond"/>
        </w:rPr>
        <w:t>examinar si las Líneas Modulares de inversión creadas en 2011, Espacio Activo, Elige Vivir Sano (EVS), 100 Pasarelas y Fútbol Calle, tienen alg</w:t>
      </w:r>
      <w:r w:rsidR="00BC6A47" w:rsidRPr="00F111CA">
        <w:rPr>
          <w:rFonts w:ascii="Garamond" w:hAnsi="Garamond"/>
        </w:rPr>
        <w:t>ún impacto que modifique</w:t>
      </w:r>
      <w:r w:rsidR="00F877EE" w:rsidRPr="00F111CA">
        <w:rPr>
          <w:rFonts w:ascii="Garamond" w:hAnsi="Garamond"/>
        </w:rPr>
        <w:t xml:space="preserve"> la orientación de la demanda general del PMU</w:t>
      </w:r>
      <w:r w:rsidR="00BC6A47" w:rsidRPr="00F111CA">
        <w:rPr>
          <w:rFonts w:ascii="Garamond" w:hAnsi="Garamond"/>
        </w:rPr>
        <w:t xml:space="preserve"> a partir de esa fecha y</w:t>
      </w:r>
      <w:r w:rsidR="006D47D8" w:rsidRPr="00F111CA">
        <w:rPr>
          <w:rFonts w:ascii="Garamond" w:hAnsi="Garamond"/>
        </w:rPr>
        <w:t>/o</w:t>
      </w:r>
      <w:r w:rsidR="00BC6A47" w:rsidRPr="00F111CA">
        <w:rPr>
          <w:rFonts w:ascii="Garamond" w:hAnsi="Garamond"/>
        </w:rPr>
        <w:t xml:space="preserve"> si reflejan </w:t>
      </w:r>
      <w:r w:rsidR="006D47D8" w:rsidRPr="00F111CA">
        <w:rPr>
          <w:rFonts w:ascii="Garamond" w:hAnsi="Garamond"/>
        </w:rPr>
        <w:t xml:space="preserve">o no </w:t>
      </w:r>
      <w:r w:rsidR="00BC6A47" w:rsidRPr="00F111CA">
        <w:rPr>
          <w:rFonts w:ascii="Garamond" w:hAnsi="Garamond"/>
        </w:rPr>
        <w:t>esa demanda en áreas temáticas similares de esa demanda.</w:t>
      </w:r>
    </w:p>
    <w:p w:rsidR="00800C10" w:rsidRPr="00F111CA" w:rsidRDefault="00F877EE" w:rsidP="00BC6A47">
      <w:pPr>
        <w:spacing w:after="120" w:line="240" w:lineRule="auto"/>
        <w:jc w:val="both"/>
        <w:rPr>
          <w:rFonts w:ascii="Garamond" w:hAnsi="Garamond"/>
        </w:rPr>
      </w:pPr>
      <w:r w:rsidRPr="00F111CA">
        <w:rPr>
          <w:rFonts w:ascii="Garamond" w:hAnsi="Garamond"/>
        </w:rPr>
        <w:t xml:space="preserve">Dado que las bases de datos respectivas son distintas y </w:t>
      </w:r>
      <w:r w:rsidR="00BC6A47" w:rsidRPr="00F111CA">
        <w:rPr>
          <w:rFonts w:ascii="Garamond" w:hAnsi="Garamond"/>
        </w:rPr>
        <w:t>en la base de demanda 2013-2014 no necesariamente se pueden identificar los proyectos que se enmarcan en alguna de las 4 L</w:t>
      </w:r>
      <w:r w:rsidR="006D47D8" w:rsidRPr="00F111CA">
        <w:rPr>
          <w:rFonts w:ascii="Garamond" w:hAnsi="Garamond"/>
        </w:rPr>
        <w:t xml:space="preserve">íneas Modulares identificados en la base de 4 líneas modulares, </w:t>
      </w:r>
      <w:r w:rsidR="00BC6A47" w:rsidRPr="00F111CA">
        <w:rPr>
          <w:rFonts w:ascii="Garamond" w:hAnsi="Garamond"/>
        </w:rPr>
        <w:t xml:space="preserve">hemos trabajado con un método impreciso </w:t>
      </w:r>
      <w:r w:rsidR="006D47D8" w:rsidRPr="00F111CA">
        <w:rPr>
          <w:rFonts w:ascii="Garamond" w:hAnsi="Garamond"/>
        </w:rPr>
        <w:t xml:space="preserve">de comparación </w:t>
      </w:r>
      <w:r w:rsidR="00BC6A47" w:rsidRPr="00F111CA">
        <w:rPr>
          <w:rFonts w:ascii="Garamond" w:hAnsi="Garamond"/>
        </w:rPr>
        <w:t xml:space="preserve">que podría permitirnos obtener algunas conclusiones. </w:t>
      </w:r>
      <w:r w:rsidR="006D47D8" w:rsidRPr="00F111CA">
        <w:rPr>
          <w:rFonts w:ascii="Garamond" w:hAnsi="Garamond"/>
        </w:rPr>
        <w:t>Para esto, hemos “pareado” Líneas Modulares con Áreas de Inversión, suponiendo que están relacionadas, como sigue:</w:t>
      </w:r>
    </w:p>
    <w:p w:rsidR="00800C10" w:rsidRPr="00F111CA" w:rsidRDefault="003633AC" w:rsidP="00077E99">
      <w:pPr>
        <w:pStyle w:val="Prrafodelista"/>
        <w:numPr>
          <w:ilvl w:val="0"/>
          <w:numId w:val="11"/>
        </w:numPr>
        <w:spacing w:after="120" w:line="240" w:lineRule="auto"/>
        <w:contextualSpacing w:val="0"/>
        <w:jc w:val="both"/>
        <w:rPr>
          <w:rFonts w:ascii="Garamond" w:hAnsi="Garamond"/>
        </w:rPr>
      </w:pPr>
      <w:r w:rsidRPr="00F111CA">
        <w:rPr>
          <w:rFonts w:ascii="Garamond" w:hAnsi="Garamond"/>
        </w:rPr>
        <w:t xml:space="preserve">Área </w:t>
      </w:r>
      <w:r w:rsidR="00800C10" w:rsidRPr="00F111CA">
        <w:rPr>
          <w:rFonts w:ascii="Garamond" w:hAnsi="Garamond"/>
        </w:rPr>
        <w:t>Espacio Activo – Línea Espacio Activo;</w:t>
      </w:r>
    </w:p>
    <w:p w:rsidR="00800C10" w:rsidRPr="00F111CA" w:rsidRDefault="003633AC" w:rsidP="00077E99">
      <w:pPr>
        <w:pStyle w:val="Prrafodelista"/>
        <w:numPr>
          <w:ilvl w:val="0"/>
          <w:numId w:val="11"/>
        </w:numPr>
        <w:spacing w:after="120" w:line="240" w:lineRule="auto"/>
        <w:contextualSpacing w:val="0"/>
        <w:jc w:val="both"/>
        <w:rPr>
          <w:rFonts w:ascii="Garamond" w:hAnsi="Garamond"/>
        </w:rPr>
      </w:pPr>
      <w:r w:rsidRPr="00F111CA">
        <w:rPr>
          <w:rFonts w:ascii="Garamond" w:hAnsi="Garamond"/>
        </w:rPr>
        <w:t xml:space="preserve">Área </w:t>
      </w:r>
      <w:r w:rsidR="00800C10" w:rsidRPr="00F111CA">
        <w:rPr>
          <w:rFonts w:ascii="Garamond" w:hAnsi="Garamond"/>
        </w:rPr>
        <w:t>Plaza Activa – Línea EVS;</w:t>
      </w:r>
    </w:p>
    <w:p w:rsidR="00800C10" w:rsidRPr="00F111CA" w:rsidRDefault="003633AC" w:rsidP="00077E99">
      <w:pPr>
        <w:pStyle w:val="Prrafodelista"/>
        <w:numPr>
          <w:ilvl w:val="0"/>
          <w:numId w:val="11"/>
        </w:numPr>
        <w:spacing w:after="120" w:line="240" w:lineRule="auto"/>
        <w:contextualSpacing w:val="0"/>
        <w:jc w:val="both"/>
        <w:rPr>
          <w:rFonts w:ascii="Garamond" w:hAnsi="Garamond"/>
        </w:rPr>
      </w:pPr>
      <w:r w:rsidRPr="00F111CA">
        <w:rPr>
          <w:rFonts w:ascii="Garamond" w:hAnsi="Garamond"/>
        </w:rPr>
        <w:t xml:space="preserve">Área </w:t>
      </w:r>
      <w:r w:rsidR="00800C10" w:rsidRPr="00F111CA">
        <w:rPr>
          <w:rFonts w:ascii="Garamond" w:hAnsi="Garamond"/>
        </w:rPr>
        <w:t>Pasarelas Peatonales – Línea 100 Pasarelas;</w:t>
      </w:r>
    </w:p>
    <w:p w:rsidR="00800C10" w:rsidRPr="00F111CA" w:rsidRDefault="003633AC" w:rsidP="00077E99">
      <w:pPr>
        <w:pStyle w:val="Prrafodelista"/>
        <w:numPr>
          <w:ilvl w:val="0"/>
          <w:numId w:val="11"/>
        </w:numPr>
        <w:spacing w:after="120" w:line="240" w:lineRule="auto"/>
        <w:contextualSpacing w:val="0"/>
        <w:jc w:val="both"/>
        <w:rPr>
          <w:rFonts w:ascii="Garamond" w:hAnsi="Garamond"/>
        </w:rPr>
      </w:pPr>
      <w:r w:rsidRPr="00F111CA">
        <w:rPr>
          <w:rFonts w:ascii="Garamond" w:hAnsi="Garamond"/>
        </w:rPr>
        <w:t xml:space="preserve">Área </w:t>
      </w:r>
      <w:r w:rsidR="00800C10" w:rsidRPr="00F111CA">
        <w:rPr>
          <w:rFonts w:ascii="Garamond" w:hAnsi="Garamond"/>
        </w:rPr>
        <w:t>Infraestructura Deportiva – Línea Fútbol Calle.</w:t>
      </w:r>
    </w:p>
    <w:p w:rsidR="005576D7" w:rsidRPr="00F111CA" w:rsidRDefault="004B18F2" w:rsidP="00077E99">
      <w:pPr>
        <w:spacing w:after="120" w:line="240" w:lineRule="auto"/>
        <w:jc w:val="both"/>
        <w:rPr>
          <w:rFonts w:ascii="Garamond" w:hAnsi="Garamond"/>
        </w:rPr>
      </w:pPr>
      <w:r w:rsidRPr="00F111CA">
        <w:rPr>
          <w:rFonts w:ascii="Garamond" w:hAnsi="Garamond"/>
        </w:rPr>
        <w:t xml:space="preserve">La Tabla N° </w:t>
      </w:r>
      <w:r w:rsidR="006D32D0" w:rsidRPr="00F111CA">
        <w:rPr>
          <w:rFonts w:ascii="Garamond" w:hAnsi="Garamond"/>
        </w:rPr>
        <w:t>3</w:t>
      </w:r>
      <w:r w:rsidRPr="00F111CA">
        <w:rPr>
          <w:rFonts w:ascii="Garamond" w:hAnsi="Garamond"/>
        </w:rPr>
        <w:t xml:space="preserve"> muestra la participación de montos y </w:t>
      </w:r>
      <w:r w:rsidR="007324D1" w:rsidRPr="00F111CA">
        <w:rPr>
          <w:rFonts w:ascii="Garamond" w:hAnsi="Garamond"/>
        </w:rPr>
        <w:t>n</w:t>
      </w:r>
      <w:r w:rsidR="00755C68" w:rsidRPr="00F111CA">
        <w:rPr>
          <w:rFonts w:ascii="Garamond" w:hAnsi="Garamond"/>
        </w:rPr>
        <w:t xml:space="preserve">úmeros de proyectos de </w:t>
      </w:r>
      <w:r w:rsidR="00B526E7" w:rsidRPr="00F111CA">
        <w:rPr>
          <w:rFonts w:ascii="Garamond" w:hAnsi="Garamond"/>
        </w:rPr>
        <w:t>las</w:t>
      </w:r>
      <w:r w:rsidR="00755C68" w:rsidRPr="00F111CA">
        <w:rPr>
          <w:rFonts w:ascii="Garamond" w:hAnsi="Garamond"/>
        </w:rPr>
        <w:t xml:space="preserve"> Línea</w:t>
      </w:r>
      <w:r w:rsidR="00B526E7" w:rsidRPr="00F111CA">
        <w:rPr>
          <w:rFonts w:ascii="Garamond" w:hAnsi="Garamond"/>
        </w:rPr>
        <w:t>s</w:t>
      </w:r>
      <w:r w:rsidR="00755C68" w:rsidRPr="00F111CA">
        <w:rPr>
          <w:rFonts w:ascii="Garamond" w:hAnsi="Garamond"/>
        </w:rPr>
        <w:t xml:space="preserve"> Modular</w:t>
      </w:r>
      <w:r w:rsidR="00B526E7" w:rsidRPr="00F111CA">
        <w:rPr>
          <w:rFonts w:ascii="Garamond" w:hAnsi="Garamond"/>
        </w:rPr>
        <w:t>es</w:t>
      </w:r>
      <w:r w:rsidR="00755C68" w:rsidRPr="00F111CA">
        <w:rPr>
          <w:rFonts w:ascii="Garamond" w:hAnsi="Garamond"/>
        </w:rPr>
        <w:t xml:space="preserve"> y de </w:t>
      </w:r>
      <w:r w:rsidR="00B526E7" w:rsidRPr="00F111CA">
        <w:rPr>
          <w:rFonts w:ascii="Garamond" w:hAnsi="Garamond"/>
        </w:rPr>
        <w:t>las</w:t>
      </w:r>
      <w:r w:rsidR="00755C68" w:rsidRPr="00F111CA">
        <w:rPr>
          <w:rFonts w:ascii="Garamond" w:hAnsi="Garamond"/>
        </w:rPr>
        <w:t xml:space="preserve"> Á</w:t>
      </w:r>
      <w:r w:rsidRPr="00F111CA">
        <w:rPr>
          <w:rFonts w:ascii="Garamond" w:hAnsi="Garamond"/>
        </w:rPr>
        <w:t>rea</w:t>
      </w:r>
      <w:r w:rsidR="00B526E7" w:rsidRPr="00F111CA">
        <w:rPr>
          <w:rFonts w:ascii="Garamond" w:hAnsi="Garamond"/>
        </w:rPr>
        <w:t>s</w:t>
      </w:r>
      <w:r w:rsidRPr="00F111CA">
        <w:rPr>
          <w:rFonts w:ascii="Garamond" w:hAnsi="Garamond"/>
        </w:rPr>
        <w:t xml:space="preserve"> de </w:t>
      </w:r>
      <w:r w:rsidR="00755C68" w:rsidRPr="00F111CA">
        <w:rPr>
          <w:rFonts w:ascii="Garamond" w:hAnsi="Garamond"/>
        </w:rPr>
        <w:t>I</w:t>
      </w:r>
      <w:r w:rsidRPr="00F111CA">
        <w:rPr>
          <w:rFonts w:ascii="Garamond" w:hAnsi="Garamond"/>
        </w:rPr>
        <w:t xml:space="preserve">nversión </w:t>
      </w:r>
      <w:r w:rsidR="00B526E7" w:rsidRPr="00F111CA">
        <w:rPr>
          <w:rFonts w:ascii="Garamond" w:hAnsi="Garamond"/>
        </w:rPr>
        <w:t xml:space="preserve">relacionadas </w:t>
      </w:r>
      <w:r w:rsidRPr="00F111CA">
        <w:rPr>
          <w:rFonts w:ascii="Garamond" w:hAnsi="Garamond"/>
        </w:rPr>
        <w:t>(</w:t>
      </w:r>
      <w:r w:rsidR="00B526E7" w:rsidRPr="00F111CA">
        <w:rPr>
          <w:rFonts w:ascii="Garamond" w:hAnsi="Garamond"/>
        </w:rPr>
        <w:t>pares</w:t>
      </w:r>
      <w:r w:rsidRPr="00F111CA">
        <w:rPr>
          <w:rFonts w:ascii="Garamond" w:hAnsi="Garamond"/>
        </w:rPr>
        <w:t xml:space="preserve">) dentro del total de la cartera de </w:t>
      </w:r>
      <w:r w:rsidR="00D83AF6" w:rsidRPr="00F111CA">
        <w:rPr>
          <w:rFonts w:ascii="Garamond" w:hAnsi="Garamond"/>
        </w:rPr>
        <w:t xml:space="preserve">demandada de </w:t>
      </w:r>
      <w:r w:rsidRPr="00F111CA">
        <w:rPr>
          <w:rFonts w:ascii="Garamond" w:hAnsi="Garamond"/>
        </w:rPr>
        <w:t>proyectos PMU (independiente de su estado de avance o ejecución).</w:t>
      </w:r>
    </w:p>
    <w:p w:rsidR="001467E4" w:rsidRPr="00F111CA" w:rsidRDefault="00353222" w:rsidP="00077E99">
      <w:pPr>
        <w:spacing w:after="120" w:line="240" w:lineRule="auto"/>
        <w:jc w:val="both"/>
        <w:rPr>
          <w:rFonts w:ascii="Garamond" w:hAnsi="Garamond"/>
        </w:rPr>
      </w:pPr>
      <w:r w:rsidRPr="00F111CA">
        <w:rPr>
          <w:rFonts w:ascii="Garamond" w:hAnsi="Garamond"/>
        </w:rPr>
        <w:t>El período cubierto va de enero 2013 a mayo 2014, lo cual no es suficiente para trabajar con series temporales, por lo que las conclusiones de este análisis son particularmente limitadas.</w:t>
      </w:r>
    </w:p>
    <w:p w:rsidR="001467E4" w:rsidRPr="00F111CA" w:rsidRDefault="001467E4" w:rsidP="00077E99">
      <w:pPr>
        <w:spacing w:after="120" w:line="240" w:lineRule="auto"/>
        <w:jc w:val="both"/>
        <w:rPr>
          <w:rFonts w:ascii="Garamond" w:hAnsi="Garamond"/>
        </w:rPr>
        <w:sectPr w:rsidR="001467E4" w:rsidRPr="00F111CA" w:rsidSect="00057810">
          <w:pgSz w:w="12240" w:h="15840"/>
          <w:pgMar w:top="1985" w:right="1701" w:bottom="1985" w:left="1701" w:header="708" w:footer="708" w:gutter="0"/>
          <w:cols w:space="708"/>
          <w:docGrid w:linePitch="360"/>
        </w:sectPr>
      </w:pPr>
    </w:p>
    <w:p w:rsidR="001467E4" w:rsidRPr="00F111CA" w:rsidRDefault="001467E4" w:rsidP="00077E99">
      <w:pPr>
        <w:spacing w:after="120" w:line="240" w:lineRule="auto"/>
        <w:jc w:val="both"/>
        <w:rPr>
          <w:rFonts w:ascii="Garamond" w:hAnsi="Garamond"/>
        </w:rPr>
      </w:pPr>
    </w:p>
    <w:p w:rsidR="004B18F2" w:rsidRPr="00F111CA" w:rsidRDefault="006D32D0" w:rsidP="00077E99">
      <w:pPr>
        <w:spacing w:after="120" w:line="240" w:lineRule="auto"/>
        <w:jc w:val="center"/>
        <w:rPr>
          <w:rFonts w:ascii="Garamond" w:hAnsi="Garamond"/>
        </w:rPr>
      </w:pPr>
      <w:r w:rsidRPr="00F111CA">
        <w:rPr>
          <w:rFonts w:ascii="Garamond" w:hAnsi="Garamond"/>
        </w:rPr>
        <w:t xml:space="preserve">TABLA N° 3: ESTRUCTURA DE LA DEMANDA </w:t>
      </w:r>
      <w:r w:rsidR="001F344E" w:rsidRPr="00F111CA">
        <w:rPr>
          <w:rFonts w:ascii="Garamond" w:hAnsi="Garamond"/>
        </w:rPr>
        <w:t xml:space="preserve">DE </w:t>
      </w:r>
      <w:r w:rsidRPr="00F111CA">
        <w:rPr>
          <w:rFonts w:ascii="Garamond" w:hAnsi="Garamond"/>
        </w:rPr>
        <w:t xml:space="preserve">INVERSIÓN EN 4 LÍNEAS MODULARES Y EN 4 ÁREAS DE INVERSIÓN RELACIONADAS, </w:t>
      </w:r>
      <w:r w:rsidR="00E30DA6" w:rsidRPr="00F111CA">
        <w:rPr>
          <w:rFonts w:ascii="Garamond" w:hAnsi="Garamond"/>
        </w:rPr>
        <w:t>2013-</w:t>
      </w:r>
      <w:r w:rsidR="0072731B" w:rsidRPr="00F111CA">
        <w:rPr>
          <w:rFonts w:ascii="Garamond" w:hAnsi="Garamond"/>
        </w:rPr>
        <w:t xml:space="preserve">MAYO </w:t>
      </w:r>
      <w:r w:rsidR="00E30DA6" w:rsidRPr="00F111CA">
        <w:rPr>
          <w:rFonts w:ascii="Garamond" w:hAnsi="Garamond"/>
        </w:rPr>
        <w:t xml:space="preserve">2014 </w:t>
      </w:r>
      <w:r w:rsidR="001C3B85" w:rsidRPr="00F111CA">
        <w:rPr>
          <w:rFonts w:ascii="Garamond" w:hAnsi="Garamond"/>
        </w:rPr>
        <w:t>Y</w:t>
      </w:r>
      <w:r w:rsidR="00E30DA6" w:rsidRPr="00F111CA">
        <w:rPr>
          <w:rFonts w:ascii="Garamond" w:hAnsi="Garamond"/>
        </w:rPr>
        <w:t xml:space="preserve"> </w:t>
      </w:r>
      <w:r w:rsidR="0072731B" w:rsidRPr="00F111CA">
        <w:rPr>
          <w:rFonts w:ascii="Garamond" w:hAnsi="Garamond"/>
        </w:rPr>
        <w:t>ACUMULADO</w:t>
      </w:r>
    </w:p>
    <w:tbl>
      <w:tblPr>
        <w:tblW w:w="14460" w:type="dxa"/>
        <w:jc w:val="center"/>
        <w:tblCellMar>
          <w:left w:w="70" w:type="dxa"/>
          <w:right w:w="70" w:type="dxa"/>
        </w:tblCellMar>
        <w:tblLook w:val="04A0" w:firstRow="1" w:lastRow="0" w:firstColumn="1" w:lastColumn="0" w:noHBand="0" w:noVBand="1"/>
      </w:tblPr>
      <w:tblGrid>
        <w:gridCol w:w="3378"/>
        <w:gridCol w:w="1314"/>
        <w:gridCol w:w="862"/>
        <w:gridCol w:w="767"/>
        <w:gridCol w:w="862"/>
        <w:gridCol w:w="1233"/>
        <w:gridCol w:w="862"/>
        <w:gridCol w:w="767"/>
        <w:gridCol w:w="862"/>
        <w:gridCol w:w="1314"/>
        <w:gridCol w:w="862"/>
        <w:gridCol w:w="767"/>
        <w:gridCol w:w="862"/>
      </w:tblGrid>
      <w:tr w:rsidR="001467E4" w:rsidRPr="00F111CA" w:rsidTr="00057810">
        <w:trPr>
          <w:jc w:val="center"/>
        </w:trPr>
        <w:tc>
          <w:tcPr>
            <w:tcW w:w="33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372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467E4" w:rsidRPr="00F111CA" w:rsidRDefault="001467E4" w:rsidP="001467E4">
            <w:pPr>
              <w:spacing w:after="0" w:line="240" w:lineRule="auto"/>
              <w:jc w:val="center"/>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2013</w:t>
            </w:r>
          </w:p>
        </w:tc>
        <w:tc>
          <w:tcPr>
            <w:tcW w:w="36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467E4" w:rsidRPr="00F111CA" w:rsidRDefault="001467E4" w:rsidP="001467E4">
            <w:pPr>
              <w:spacing w:after="0" w:line="240" w:lineRule="auto"/>
              <w:jc w:val="center"/>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2014</w:t>
            </w:r>
            <w:r w:rsidR="00465D46" w:rsidRPr="00F111CA">
              <w:rPr>
                <w:rFonts w:ascii="Garamond" w:eastAsia="Times New Roman" w:hAnsi="Garamond" w:cs="Times New Roman"/>
                <w:color w:val="000000"/>
                <w:sz w:val="16"/>
                <w:szCs w:val="16"/>
                <w:lang w:eastAsia="es-CL"/>
              </w:rPr>
              <w:t xml:space="preserve"> (sólo hasta mayo)</w:t>
            </w:r>
          </w:p>
        </w:tc>
        <w:tc>
          <w:tcPr>
            <w:tcW w:w="372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1467E4" w:rsidRPr="00F111CA" w:rsidRDefault="00644CD8" w:rsidP="001467E4">
            <w:pPr>
              <w:spacing w:after="0" w:line="240" w:lineRule="auto"/>
              <w:jc w:val="center"/>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ACUMULADO</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1314"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Monto ($)</w:t>
            </w:r>
          </w:p>
        </w:tc>
        <w:tc>
          <w:tcPr>
            <w:tcW w:w="820"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PRTIC $ EN CARTERA TOTAL</w:t>
            </w:r>
          </w:p>
        </w:tc>
        <w:tc>
          <w:tcPr>
            <w:tcW w:w="767"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N° PROY</w:t>
            </w:r>
          </w:p>
        </w:tc>
        <w:tc>
          <w:tcPr>
            <w:tcW w:w="820"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PARTIC N° EN CARTERA TOTAL</w:t>
            </w:r>
          </w:p>
        </w:tc>
        <w:tc>
          <w:tcPr>
            <w:tcW w:w="1233"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Monto ($)</w:t>
            </w:r>
          </w:p>
        </w:tc>
        <w:tc>
          <w:tcPr>
            <w:tcW w:w="820"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PRTIC $ EN CARTERA TOTAL</w:t>
            </w:r>
          </w:p>
        </w:tc>
        <w:tc>
          <w:tcPr>
            <w:tcW w:w="767"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N° PROY</w:t>
            </w:r>
          </w:p>
        </w:tc>
        <w:tc>
          <w:tcPr>
            <w:tcW w:w="820"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PARTIC N° EN CARTERA TOTAL</w:t>
            </w:r>
          </w:p>
        </w:tc>
        <w:tc>
          <w:tcPr>
            <w:tcW w:w="1314"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Monto ($)</w:t>
            </w:r>
          </w:p>
        </w:tc>
        <w:tc>
          <w:tcPr>
            <w:tcW w:w="820"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PRTIC $ EN CARTERA TOTAL</w:t>
            </w:r>
          </w:p>
        </w:tc>
        <w:tc>
          <w:tcPr>
            <w:tcW w:w="767"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N° PROY</w:t>
            </w:r>
          </w:p>
        </w:tc>
        <w:tc>
          <w:tcPr>
            <w:tcW w:w="820" w:type="dxa"/>
            <w:tcBorders>
              <w:top w:val="nil"/>
              <w:left w:val="nil"/>
              <w:bottom w:val="single" w:sz="8" w:space="0" w:color="auto"/>
              <w:right w:val="single" w:sz="8" w:space="0" w:color="auto"/>
            </w:tcBorders>
            <w:shd w:val="clear" w:color="auto" w:fill="auto"/>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PARTIC N° EN CARTERA TOTAL</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auto" w:fill="auto"/>
            <w:noWrap/>
            <w:vAlign w:val="center"/>
            <w:hideMark/>
          </w:tcPr>
          <w:p w:rsidR="001467E4" w:rsidRPr="00F111CA" w:rsidRDefault="001F344E"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xml:space="preserve">ÁREA </w:t>
            </w:r>
            <w:r w:rsidR="001467E4" w:rsidRPr="00F111CA">
              <w:rPr>
                <w:rFonts w:ascii="Garamond" w:eastAsia="Times New Roman" w:hAnsi="Garamond" w:cs="Times New Roman"/>
                <w:color w:val="000000"/>
                <w:sz w:val="16"/>
                <w:szCs w:val="16"/>
                <w:lang w:eastAsia="es-CL"/>
              </w:rPr>
              <w:t>ESPACIO ACTIVO</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1.846.587.808</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1,55%</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90</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2,85%</w:t>
            </w:r>
          </w:p>
        </w:tc>
        <w:tc>
          <w:tcPr>
            <w:tcW w:w="1233"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0,00%</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0,00%</w:t>
            </w:r>
          </w:p>
        </w:tc>
        <w:tc>
          <w:tcPr>
            <w:tcW w:w="1314"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1.846.587.808</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0,91%</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90</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1,54%</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Línea Espacio Activo</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w:t>
            </w:r>
            <w:r w:rsidR="006B246B"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705</w:t>
            </w:r>
            <w:r w:rsidR="006B246B"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353</w:t>
            </w:r>
            <w:r w:rsidR="006B246B"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712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1,44%</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80</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2,54%</w:t>
            </w:r>
          </w:p>
        </w:tc>
        <w:tc>
          <w:tcPr>
            <w:tcW w:w="1233"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41.127.160</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0,05%</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0,07%</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1.746.480.872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0,86%</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1,41%</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ÁREA INFRAESTRUCTURA DEPORTIVA</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18.361.466.690</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15,46%</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443</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14,05%</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9.200.741.706</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11,01%</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246</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9,19%</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27.562.208.396</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13,62%</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689</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11,81%</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Línea Fútbol Calle</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438</w:t>
            </w:r>
            <w:r w:rsidR="00D13D17"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531</w:t>
            </w:r>
            <w:r w:rsidR="00D13D17"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452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0,37%</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0,34%</w:t>
            </w:r>
          </w:p>
        </w:tc>
        <w:tc>
          <w:tcPr>
            <w:tcW w:w="1233"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48</w:t>
            </w:r>
            <w:r w:rsidR="00D13D17"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416</w:t>
            </w:r>
            <w:r w:rsidR="00D13D17"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474</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0,06%</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0,04%</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486</w:t>
            </w:r>
            <w:r w:rsidR="00690800"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947</w:t>
            </w:r>
            <w:r w:rsidR="00690800"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926</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0,24%</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0,21%</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ÁREA PASARELAS PEATONALES</w:t>
            </w:r>
          </w:p>
        </w:tc>
        <w:tc>
          <w:tcPr>
            <w:tcW w:w="1314"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851.544.298</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0,72%</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0,67%</w:t>
            </w:r>
          </w:p>
        </w:tc>
        <w:tc>
          <w:tcPr>
            <w:tcW w:w="1233"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230.192.428</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0,28%</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0,34%</w:t>
            </w:r>
          </w:p>
        </w:tc>
        <w:tc>
          <w:tcPr>
            <w:tcW w:w="1314"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1.081.736.726</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0,53%</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0,51%</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Línea 100 Pasarelas</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1.373.818.835</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1,16%</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1,01%</w:t>
            </w:r>
          </w:p>
        </w:tc>
        <w:tc>
          <w:tcPr>
            <w:tcW w:w="1233"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37.745.551</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0,05%</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0,14%</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1.411.564.386</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0,70%</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36</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0,62%</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ÁREA PLAZA ACTIVA</w:t>
            </w:r>
          </w:p>
        </w:tc>
        <w:tc>
          <w:tcPr>
            <w:tcW w:w="1314"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4.683.526.574</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3,94%</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146</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4,63%</w:t>
            </w:r>
          </w:p>
        </w:tc>
        <w:tc>
          <w:tcPr>
            <w:tcW w:w="1233"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1.261.516.675</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1,51%</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42</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1,57%</w:t>
            </w:r>
          </w:p>
        </w:tc>
        <w:tc>
          <w:tcPr>
            <w:tcW w:w="1314"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5.945.043.249</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2,94%</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188</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3,22%</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Línea EVS</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w:t>
            </w:r>
            <w:r w:rsidR="006B246B"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896</w:t>
            </w:r>
            <w:r w:rsidR="006B246B"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955</w:t>
            </w:r>
            <w:r w:rsidR="006B246B" w:rsidRPr="00F111CA">
              <w:rPr>
                <w:rFonts w:ascii="Garamond" w:eastAsia="Times New Roman" w:hAnsi="Garamond" w:cs="Times New Roman"/>
                <w:color w:val="000000"/>
                <w:sz w:val="16"/>
                <w:szCs w:val="16"/>
                <w:lang w:eastAsia="es-CL"/>
              </w:rPr>
              <w:t>.</w:t>
            </w:r>
            <w:r w:rsidRPr="00F111CA">
              <w:rPr>
                <w:rFonts w:ascii="Garamond" w:eastAsia="Times New Roman" w:hAnsi="Garamond" w:cs="Times New Roman"/>
                <w:color w:val="000000"/>
                <w:sz w:val="16"/>
                <w:szCs w:val="16"/>
                <w:lang w:eastAsia="es-CL"/>
              </w:rPr>
              <w:t>091</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2,44%</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94</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2,98%</w:t>
            </w:r>
          </w:p>
        </w:tc>
        <w:tc>
          <w:tcPr>
            <w:tcW w:w="1233"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377.050.132</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0,45%</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0,52%</w:t>
            </w:r>
          </w:p>
        </w:tc>
        <w:tc>
          <w:tcPr>
            <w:tcW w:w="1314"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3.274.005.223</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1,62%</w:t>
            </w:r>
          </w:p>
        </w:tc>
        <w:tc>
          <w:tcPr>
            <w:tcW w:w="767"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108</w:t>
            </w:r>
          </w:p>
        </w:tc>
        <w:tc>
          <w:tcPr>
            <w:tcW w:w="820" w:type="dxa"/>
            <w:tcBorders>
              <w:top w:val="nil"/>
              <w:left w:val="nil"/>
              <w:bottom w:val="single" w:sz="8" w:space="0" w:color="auto"/>
              <w:right w:val="single" w:sz="8" w:space="0" w:color="auto"/>
            </w:tcBorders>
            <w:shd w:val="clear" w:color="000000" w:fill="FFC000"/>
            <w:noWrap/>
            <w:vAlign w:val="center"/>
            <w:hideMark/>
          </w:tcPr>
          <w:p w:rsidR="001467E4" w:rsidRPr="00F111CA" w:rsidRDefault="001467E4" w:rsidP="0014238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r w:rsidR="00142384">
              <w:rPr>
                <w:rFonts w:ascii="Garamond" w:eastAsia="Times New Roman" w:hAnsi="Garamond" w:cs="Times New Roman"/>
                <w:color w:val="000000"/>
                <w:sz w:val="16"/>
                <w:szCs w:val="16"/>
                <w:lang w:eastAsia="es-CL"/>
              </w:rPr>
              <w:t>1,85%</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1314"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1233"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1314"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767"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w:t>
            </w:r>
          </w:p>
        </w:tc>
        <w:tc>
          <w:tcPr>
            <w:tcW w:w="820" w:type="dxa"/>
            <w:tcBorders>
              <w:top w:val="nil"/>
              <w:left w:val="nil"/>
              <w:bottom w:val="single" w:sz="8" w:space="0" w:color="auto"/>
              <w:right w:val="single" w:sz="8" w:space="0" w:color="auto"/>
            </w:tcBorders>
            <w:shd w:val="clear" w:color="auto" w:fill="auto"/>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000000" w:fill="D99594"/>
            <w:noWrap/>
            <w:vAlign w:val="center"/>
            <w:hideMark/>
          </w:tcPr>
          <w:p w:rsidR="001467E4" w:rsidRPr="00F111CA" w:rsidRDefault="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TOTAL CARTERA</w:t>
            </w:r>
            <w:r w:rsidR="003E3B94" w:rsidRPr="00F111CA">
              <w:rPr>
                <w:rFonts w:ascii="Garamond" w:eastAsia="Times New Roman" w:hAnsi="Garamond" w:cs="Times New Roman"/>
                <w:color w:val="000000"/>
                <w:sz w:val="16"/>
                <w:szCs w:val="16"/>
                <w:lang w:eastAsia="es-CL"/>
              </w:rPr>
              <w:t xml:space="preserve"> DE PROYECTOS (19 ÁREAS DE INVERSIÓN, INCLUYENDO 4 LÍNEAS MODULARES)</w:t>
            </w:r>
          </w:p>
        </w:tc>
        <w:tc>
          <w:tcPr>
            <w:tcW w:w="1314"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118.803.107.768</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100,00%</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3.154</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100,00%</w:t>
            </w:r>
          </w:p>
        </w:tc>
        <w:tc>
          <w:tcPr>
            <w:tcW w:w="1233"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83.589.195.256</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100,00%</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2.678</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100,00%</w:t>
            </w:r>
          </w:p>
        </w:tc>
        <w:tc>
          <w:tcPr>
            <w:tcW w:w="1314"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202.392.303.024</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100,00%</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5.832</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100,00%</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000000" w:fill="D99594"/>
            <w:noWrap/>
            <w:vAlign w:val="center"/>
            <w:hideMark/>
          </w:tcPr>
          <w:p w:rsidR="001467E4" w:rsidRPr="00F111CA" w:rsidRDefault="001467E4" w:rsidP="003E3B9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xml:space="preserve">PARTICIP </w:t>
            </w:r>
            <w:r w:rsidR="003E3B94" w:rsidRPr="00F111CA">
              <w:rPr>
                <w:rFonts w:ascii="Garamond" w:eastAsia="Times New Roman" w:hAnsi="Garamond" w:cs="Times New Roman"/>
                <w:color w:val="000000"/>
                <w:sz w:val="16"/>
                <w:szCs w:val="16"/>
                <w:lang w:eastAsia="es-CL"/>
              </w:rPr>
              <w:t xml:space="preserve">DE 4 </w:t>
            </w:r>
            <w:r w:rsidRPr="00F111CA">
              <w:rPr>
                <w:rFonts w:ascii="Garamond" w:eastAsia="Times New Roman" w:hAnsi="Garamond" w:cs="Times New Roman"/>
                <w:color w:val="000000"/>
                <w:sz w:val="16"/>
                <w:szCs w:val="16"/>
                <w:lang w:eastAsia="es-CL"/>
              </w:rPr>
              <w:t>ÁREAS DE INV</w:t>
            </w:r>
            <w:r w:rsidR="003E3B94" w:rsidRPr="00F111CA">
              <w:rPr>
                <w:rFonts w:ascii="Garamond" w:eastAsia="Times New Roman" w:hAnsi="Garamond" w:cs="Times New Roman"/>
                <w:color w:val="000000"/>
                <w:sz w:val="16"/>
                <w:szCs w:val="16"/>
                <w:lang w:eastAsia="es-CL"/>
              </w:rPr>
              <w:t>ERSIÓN EN CARTERA TOTAL</w:t>
            </w:r>
          </w:p>
        </w:tc>
        <w:tc>
          <w:tcPr>
            <w:tcW w:w="1314"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25.743.125.370</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21,67%</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362</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11,48%</w:t>
            </w:r>
          </w:p>
        </w:tc>
        <w:tc>
          <w:tcPr>
            <w:tcW w:w="1233"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10.692.450.809</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12,79%</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347</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12,96%</w:t>
            </w:r>
          </w:p>
        </w:tc>
        <w:tc>
          <w:tcPr>
            <w:tcW w:w="1314"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36.435.576.179</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18,00%</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709</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12,16%</w:t>
            </w:r>
          </w:p>
        </w:tc>
      </w:tr>
      <w:tr w:rsidR="001467E4" w:rsidRPr="00F111CA" w:rsidTr="00057810">
        <w:trPr>
          <w:jc w:val="center"/>
        </w:trPr>
        <w:tc>
          <w:tcPr>
            <w:tcW w:w="3378" w:type="dxa"/>
            <w:tcBorders>
              <w:top w:val="nil"/>
              <w:left w:val="single" w:sz="8" w:space="0" w:color="auto"/>
              <w:bottom w:val="single" w:sz="8" w:space="0" w:color="auto"/>
              <w:right w:val="single" w:sz="8" w:space="0" w:color="auto"/>
            </w:tcBorders>
            <w:shd w:val="clear" w:color="000000" w:fill="D99594"/>
            <w:noWrap/>
            <w:vAlign w:val="center"/>
            <w:hideMark/>
          </w:tcPr>
          <w:p w:rsidR="001467E4" w:rsidRPr="00F111CA" w:rsidRDefault="001467E4">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PARTICIP</w:t>
            </w:r>
            <w:r w:rsidR="003E3B94" w:rsidRPr="00F111CA">
              <w:rPr>
                <w:rFonts w:ascii="Garamond" w:eastAsia="Times New Roman" w:hAnsi="Garamond" w:cs="Times New Roman"/>
                <w:color w:val="000000"/>
                <w:sz w:val="16"/>
                <w:szCs w:val="16"/>
                <w:lang w:eastAsia="es-CL"/>
              </w:rPr>
              <w:t xml:space="preserve"> DE </w:t>
            </w:r>
            <w:r w:rsidRPr="00F111CA">
              <w:rPr>
                <w:rFonts w:ascii="Garamond" w:eastAsia="Times New Roman" w:hAnsi="Garamond" w:cs="Times New Roman"/>
                <w:color w:val="000000"/>
                <w:sz w:val="16"/>
                <w:szCs w:val="16"/>
                <w:lang w:eastAsia="es-CL"/>
              </w:rPr>
              <w:t>4 LÍN</w:t>
            </w:r>
            <w:r w:rsidR="003E3B94" w:rsidRPr="00F111CA">
              <w:rPr>
                <w:rFonts w:ascii="Garamond" w:eastAsia="Times New Roman" w:hAnsi="Garamond" w:cs="Times New Roman"/>
                <w:color w:val="000000"/>
                <w:sz w:val="16"/>
                <w:szCs w:val="16"/>
                <w:lang w:eastAsia="es-CL"/>
              </w:rPr>
              <w:t>EAS</w:t>
            </w:r>
            <w:r w:rsidRPr="00F111CA">
              <w:rPr>
                <w:rFonts w:ascii="Garamond" w:eastAsia="Times New Roman" w:hAnsi="Garamond" w:cs="Times New Roman"/>
                <w:color w:val="000000"/>
                <w:sz w:val="16"/>
                <w:szCs w:val="16"/>
                <w:lang w:eastAsia="es-CL"/>
              </w:rPr>
              <w:t xml:space="preserve"> MODU</w:t>
            </w:r>
            <w:r w:rsidR="003E3B94" w:rsidRPr="00F111CA">
              <w:rPr>
                <w:rFonts w:ascii="Garamond" w:eastAsia="Times New Roman" w:hAnsi="Garamond" w:cs="Times New Roman"/>
                <w:color w:val="000000"/>
                <w:sz w:val="16"/>
                <w:szCs w:val="16"/>
                <w:lang w:eastAsia="es-CL"/>
              </w:rPr>
              <w:t>LARES EN CARTERA TOTAL</w:t>
            </w:r>
          </w:p>
        </w:tc>
        <w:tc>
          <w:tcPr>
            <w:tcW w:w="1314"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6.414.659.090</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5,40%</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55</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1,74%</w:t>
            </w:r>
          </w:p>
        </w:tc>
        <w:tc>
          <w:tcPr>
            <w:tcW w:w="1233"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504.339.317</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0,60%</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104</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3,88%</w:t>
            </w:r>
          </w:p>
        </w:tc>
        <w:tc>
          <w:tcPr>
            <w:tcW w:w="1314"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6.918.998.407</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3,42%</w:t>
            </w:r>
          </w:p>
        </w:tc>
        <w:tc>
          <w:tcPr>
            <w:tcW w:w="767"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159</w:t>
            </w:r>
          </w:p>
        </w:tc>
        <w:tc>
          <w:tcPr>
            <w:tcW w:w="820" w:type="dxa"/>
            <w:tcBorders>
              <w:top w:val="nil"/>
              <w:left w:val="nil"/>
              <w:bottom w:val="single" w:sz="8" w:space="0" w:color="auto"/>
              <w:right w:val="single" w:sz="8" w:space="0" w:color="auto"/>
            </w:tcBorders>
            <w:shd w:val="clear" w:color="000000" w:fill="D99594"/>
            <w:noWrap/>
            <w:vAlign w:val="center"/>
            <w:hideMark/>
          </w:tcPr>
          <w:p w:rsidR="001467E4" w:rsidRPr="00F111CA" w:rsidRDefault="001467E4" w:rsidP="001467E4">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2,73%</w:t>
            </w:r>
          </w:p>
        </w:tc>
      </w:tr>
    </w:tbl>
    <w:p w:rsidR="00C666FC" w:rsidRPr="00F111CA" w:rsidRDefault="00C666FC" w:rsidP="00573174">
      <w:pPr>
        <w:jc w:val="both"/>
        <w:rPr>
          <w:rFonts w:ascii="Garamond" w:hAnsi="Garamond"/>
        </w:rPr>
      </w:pPr>
    </w:p>
    <w:p w:rsidR="00C666FC" w:rsidRPr="00F111CA" w:rsidRDefault="00C666FC" w:rsidP="00C666FC">
      <w:pPr>
        <w:tabs>
          <w:tab w:val="left" w:pos="5823"/>
        </w:tabs>
        <w:rPr>
          <w:rFonts w:ascii="Garamond" w:hAnsi="Garamond"/>
        </w:rPr>
      </w:pPr>
      <w:r w:rsidRPr="00F111CA">
        <w:rPr>
          <w:rFonts w:ascii="Garamond" w:hAnsi="Garamond"/>
        </w:rPr>
        <w:tab/>
      </w:r>
    </w:p>
    <w:p w:rsidR="001467E4" w:rsidRPr="00F111CA" w:rsidRDefault="00C666FC" w:rsidP="00C666FC">
      <w:pPr>
        <w:tabs>
          <w:tab w:val="left" w:pos="5823"/>
        </w:tabs>
        <w:rPr>
          <w:rFonts w:ascii="Garamond" w:hAnsi="Garamond"/>
        </w:rPr>
        <w:sectPr w:rsidR="001467E4" w:rsidRPr="00F111CA" w:rsidSect="00057810">
          <w:pgSz w:w="15840" w:h="12240" w:orient="landscape"/>
          <w:pgMar w:top="1985" w:right="720" w:bottom="1985" w:left="720" w:header="708" w:footer="708" w:gutter="0"/>
          <w:cols w:space="708"/>
          <w:docGrid w:linePitch="360"/>
        </w:sectPr>
      </w:pPr>
      <w:r w:rsidRPr="00F111CA">
        <w:rPr>
          <w:rFonts w:ascii="Garamond" w:hAnsi="Garamond"/>
        </w:rPr>
        <w:tab/>
      </w:r>
    </w:p>
    <w:p w:rsidR="00B501AE" w:rsidRPr="00F111CA" w:rsidRDefault="00B501AE" w:rsidP="00B501AE">
      <w:pPr>
        <w:spacing w:after="120" w:line="240" w:lineRule="auto"/>
        <w:jc w:val="both"/>
        <w:rPr>
          <w:rFonts w:ascii="Garamond" w:hAnsi="Garamond"/>
        </w:rPr>
      </w:pPr>
      <w:r w:rsidRPr="00F111CA">
        <w:rPr>
          <w:rFonts w:ascii="Garamond" w:hAnsi="Garamond"/>
        </w:rPr>
        <w:lastRenderedPageBreak/>
        <w:t>La Línea Modular Espacio Activo (“par” del Área Espacio Activo) ha acumulado 82 proyectos en total al final del período, con recursos involucrados por $ 1.746.480.872. Se trata de cifras importantes al interior del Área Espacio Activo: en este muy grueso análisis, podemos decir que el 94 % del financiamiento del Área Espacio Activo es destinado a la Línea Modular.</w:t>
      </w:r>
    </w:p>
    <w:p w:rsidR="00B501AE" w:rsidRPr="00F111CA" w:rsidRDefault="00B501AE" w:rsidP="00B501AE">
      <w:pPr>
        <w:spacing w:after="120" w:line="240" w:lineRule="auto"/>
        <w:jc w:val="both"/>
        <w:rPr>
          <w:rFonts w:ascii="Garamond" w:hAnsi="Garamond"/>
        </w:rPr>
      </w:pPr>
      <w:r w:rsidRPr="00F111CA">
        <w:rPr>
          <w:rFonts w:ascii="Garamond" w:hAnsi="Garamond"/>
        </w:rPr>
        <w:t>Pero el Área Espacio Activo, medida como número de proyectos, sólo representa 1,54 % de la cartera total de demanda de proyectos PMU para el período, y medida en montos de recursos representa aún menos, 0,91 % de la cartera total. Por lo tanto, ni el Área ni la Línea “par” tienen importancia decisiva en la estructura de la demanda general del Programa.</w:t>
      </w:r>
    </w:p>
    <w:p w:rsidR="00B501AE" w:rsidRPr="00F111CA" w:rsidRDefault="00B501AE" w:rsidP="00B501AE">
      <w:pPr>
        <w:spacing w:after="120" w:line="240" w:lineRule="auto"/>
        <w:jc w:val="both"/>
        <w:rPr>
          <w:rFonts w:ascii="Garamond" w:hAnsi="Garamond"/>
        </w:rPr>
      </w:pPr>
      <w:r w:rsidRPr="00F111CA">
        <w:rPr>
          <w:rFonts w:ascii="Garamond" w:hAnsi="Garamond"/>
        </w:rPr>
        <w:t>El Área Infraestructura Deportiva acumula 689 proyectos por un monto de $ 27.562.208.396, mientras que la Línea Fútbol Calle (“par”) sólo acumula 12 proyectos por un total de $ 486.947.926, esto es poco más de 1,7 % de la Línea sobre el Área, tanto medido en número de proyectos como en montos solicitados.</w:t>
      </w:r>
    </w:p>
    <w:p w:rsidR="00B501AE" w:rsidRPr="00F111CA" w:rsidRDefault="00B501AE" w:rsidP="00B501AE">
      <w:pPr>
        <w:spacing w:after="120" w:line="240" w:lineRule="auto"/>
        <w:jc w:val="both"/>
        <w:rPr>
          <w:rFonts w:ascii="Garamond" w:hAnsi="Garamond"/>
        </w:rPr>
      </w:pPr>
      <w:r w:rsidRPr="00F111CA">
        <w:rPr>
          <w:rFonts w:ascii="Garamond" w:hAnsi="Garamond"/>
        </w:rPr>
        <w:t>La cartera de demanda del Área Infraestructura Deportiva es importante en el total de demanda del Programa, con una participación de 13,62 % en recursos solicitados y 11,81 % en número de proyectos. Pero la participación de la Línea EVS en su interior es marginal, por lo que ésta no tiene impacto en la estructura general de demanda del Programa.</w:t>
      </w:r>
    </w:p>
    <w:p w:rsidR="00B501AE" w:rsidRPr="00F111CA" w:rsidRDefault="00B501AE" w:rsidP="00B501AE">
      <w:pPr>
        <w:spacing w:after="120" w:line="240" w:lineRule="auto"/>
        <w:jc w:val="both"/>
        <w:rPr>
          <w:rFonts w:ascii="Garamond" w:hAnsi="Garamond"/>
        </w:rPr>
      </w:pPr>
      <w:r w:rsidRPr="00F111CA">
        <w:rPr>
          <w:rFonts w:ascii="Garamond" w:hAnsi="Garamond"/>
        </w:rPr>
        <w:t>En el Área Plaza Activa, la demanda de recursos es de un monto cercano a los 6 mil millones, lo cual representa un 2,94% de la demanda total de proyectos PMU del período. Esto se traduce en 188 proyectos demandados para el Área, un 3,22% de la demanda total del PMU como número de proyectos. La parte del Área Plaza Activa que es demandada específicamente por la Línea EVS, medida como número de proyectos, es de 57 % (108 proyectos de la Línea sobre 188 proyectos del total del Área), una proporción importante.</w:t>
      </w:r>
    </w:p>
    <w:p w:rsidR="00B501AE" w:rsidRPr="00F111CA" w:rsidRDefault="00B501AE" w:rsidP="00B501AE">
      <w:pPr>
        <w:spacing w:after="120" w:line="240" w:lineRule="auto"/>
        <w:jc w:val="both"/>
        <w:rPr>
          <w:rFonts w:ascii="Garamond" w:hAnsi="Garamond"/>
        </w:rPr>
      </w:pPr>
      <w:r w:rsidRPr="00F111CA">
        <w:rPr>
          <w:rFonts w:ascii="Garamond" w:hAnsi="Garamond"/>
        </w:rPr>
        <w:t>Por lo tanto, aunque el Área Plaza Activa no tiene demasiada importancia en la estructura de la demanda total del PMU, dada la importancia que dentro del Área tiene la Línea EVS, podría pensarse que esta última sí tiene algún impacto en dicha estructura, esto es, que podría justificarse su existencia. Sin embargo, como hemos visto, los datos disponibles para este análisis son insuficientes para hacer de ésta una conclusión indiscutible.</w:t>
      </w:r>
    </w:p>
    <w:p w:rsidR="00B501AE" w:rsidRPr="00F111CA" w:rsidRDefault="00B501AE" w:rsidP="00B501AE">
      <w:pPr>
        <w:spacing w:after="120" w:line="240" w:lineRule="auto"/>
        <w:jc w:val="both"/>
        <w:rPr>
          <w:rFonts w:ascii="Garamond" w:hAnsi="Garamond"/>
        </w:rPr>
      </w:pPr>
      <w:r w:rsidRPr="00F111CA">
        <w:rPr>
          <w:rFonts w:ascii="Garamond" w:hAnsi="Garamond"/>
        </w:rPr>
        <w:t>Dada la imprecisión de los nombres de los proyectos que hemos incluido en el Área Pasarelas Peatonales, se hace más difícil asimilarla (“parearla”) al concepto que hay en la Línea Modular 100 Pasarelas. Tanto es así que identificamos más proyectos en la Línea que en el Área, lo cual es evidentemente inconsistente. Con todo, el Área Pasarelas representa cerca de 1.080 millones y 30 proyectos, esto es alrededor de 0,7 % de la cartera total de demanda del PMU, mientras que la Línea Modular 100 Pasarelas acumula 1.411 millones y 36 proyectos.</w:t>
      </w:r>
    </w:p>
    <w:p w:rsidR="00B501AE" w:rsidRPr="00F111CA" w:rsidRDefault="00B501AE" w:rsidP="00B501AE">
      <w:pPr>
        <w:spacing w:after="120" w:line="240" w:lineRule="auto"/>
        <w:jc w:val="both"/>
        <w:rPr>
          <w:rFonts w:ascii="Garamond" w:hAnsi="Garamond"/>
        </w:rPr>
      </w:pPr>
      <w:r w:rsidRPr="00F111CA">
        <w:rPr>
          <w:rFonts w:ascii="Garamond" w:hAnsi="Garamond"/>
        </w:rPr>
        <w:t>Con tal imprecisión y lo pequeña que es la participación del Área en el PMU, no se pueden extraer conclusiones sobre ella y la Línea Modular asociada.</w:t>
      </w:r>
    </w:p>
    <w:p w:rsidR="00B501AE" w:rsidRPr="00F111CA" w:rsidRDefault="00B501AE" w:rsidP="00B501AE">
      <w:pPr>
        <w:spacing w:after="120" w:line="240" w:lineRule="auto"/>
        <w:rPr>
          <w:rFonts w:ascii="Garamond" w:hAnsi="Garamond"/>
          <w:b/>
        </w:rPr>
      </w:pPr>
    </w:p>
    <w:p w:rsidR="00452AF0" w:rsidRPr="00F111CA" w:rsidRDefault="00452AF0" w:rsidP="00B501AE">
      <w:pPr>
        <w:pStyle w:val="Prrafodelista"/>
        <w:numPr>
          <w:ilvl w:val="0"/>
          <w:numId w:val="19"/>
        </w:numPr>
        <w:spacing w:after="120" w:line="240" w:lineRule="auto"/>
        <w:rPr>
          <w:rFonts w:ascii="Garamond" w:hAnsi="Garamond"/>
          <w:b/>
        </w:rPr>
      </w:pPr>
      <w:r w:rsidRPr="00F111CA">
        <w:rPr>
          <w:rFonts w:ascii="Garamond" w:hAnsi="Garamond"/>
          <w:b/>
        </w:rPr>
        <w:t xml:space="preserve">DIFERENCIAS ENTRE </w:t>
      </w:r>
      <w:r w:rsidR="00FD547B" w:rsidRPr="00F111CA">
        <w:rPr>
          <w:rFonts w:ascii="Garamond" w:hAnsi="Garamond"/>
          <w:b/>
        </w:rPr>
        <w:t xml:space="preserve">DEMANDA DE </w:t>
      </w:r>
      <w:r w:rsidRPr="00F111CA">
        <w:rPr>
          <w:rFonts w:ascii="Garamond" w:hAnsi="Garamond"/>
          <w:b/>
        </w:rPr>
        <w:t xml:space="preserve">PMU TRADICIONAL Y </w:t>
      </w:r>
      <w:r w:rsidR="00FD547B" w:rsidRPr="00F111CA">
        <w:rPr>
          <w:rFonts w:ascii="Garamond" w:hAnsi="Garamond"/>
          <w:b/>
        </w:rPr>
        <w:t xml:space="preserve">DEMANDA DE </w:t>
      </w:r>
      <w:r w:rsidRPr="00F111CA">
        <w:rPr>
          <w:rFonts w:ascii="Garamond" w:hAnsi="Garamond"/>
          <w:b/>
        </w:rPr>
        <w:t>PMU EMERGENCIA</w:t>
      </w:r>
    </w:p>
    <w:p w:rsidR="00452AF0" w:rsidRPr="00F111CA" w:rsidRDefault="00452AF0" w:rsidP="00B501AE">
      <w:pPr>
        <w:spacing w:after="120" w:line="240" w:lineRule="auto"/>
        <w:jc w:val="both"/>
        <w:rPr>
          <w:rFonts w:ascii="Garamond" w:hAnsi="Garamond"/>
        </w:rPr>
      </w:pPr>
      <w:r w:rsidRPr="00F111CA">
        <w:rPr>
          <w:rFonts w:ascii="Garamond" w:hAnsi="Garamond"/>
        </w:rPr>
        <w:t xml:space="preserve">La Tabla N° </w:t>
      </w:r>
      <w:r w:rsidR="00C666FC" w:rsidRPr="00F111CA">
        <w:rPr>
          <w:rFonts w:ascii="Garamond" w:hAnsi="Garamond"/>
        </w:rPr>
        <w:t>4</w:t>
      </w:r>
      <w:r w:rsidRPr="00F111CA">
        <w:rPr>
          <w:rFonts w:ascii="Garamond" w:hAnsi="Garamond"/>
        </w:rPr>
        <w:t xml:space="preserve"> muestra la distribución de </w:t>
      </w:r>
      <w:r w:rsidR="00160EDF" w:rsidRPr="00F111CA">
        <w:rPr>
          <w:rFonts w:ascii="Garamond" w:hAnsi="Garamond"/>
        </w:rPr>
        <w:t>la demanda por</w:t>
      </w:r>
      <w:r w:rsidRPr="00F111CA">
        <w:rPr>
          <w:rFonts w:ascii="Garamond" w:hAnsi="Garamond"/>
        </w:rPr>
        <w:t xml:space="preserve"> </w:t>
      </w:r>
      <w:r w:rsidR="00160EDF" w:rsidRPr="00F111CA">
        <w:rPr>
          <w:rFonts w:ascii="Garamond" w:hAnsi="Garamond"/>
        </w:rPr>
        <w:t>inversión</w:t>
      </w:r>
      <w:r w:rsidRPr="00F111CA">
        <w:rPr>
          <w:rFonts w:ascii="Garamond" w:hAnsi="Garamond"/>
        </w:rPr>
        <w:t xml:space="preserve"> del PMU </w:t>
      </w:r>
      <w:r w:rsidR="00E23866" w:rsidRPr="00F111CA">
        <w:rPr>
          <w:rFonts w:ascii="Garamond" w:hAnsi="Garamond"/>
        </w:rPr>
        <w:t>período enero 2013-mayo 2014,</w:t>
      </w:r>
      <w:r w:rsidRPr="00F111CA">
        <w:rPr>
          <w:rFonts w:ascii="Garamond" w:hAnsi="Garamond"/>
        </w:rPr>
        <w:t xml:space="preserve"> según fuente del Programa: Tradicional o Emergencia y, dentro de la segunda, Fondo de Inversión en Educación (FIE) y fondo “espejo regional del </w:t>
      </w:r>
      <w:proofErr w:type="spellStart"/>
      <w:r w:rsidRPr="00F111CA">
        <w:rPr>
          <w:rFonts w:ascii="Garamond" w:hAnsi="Garamond"/>
        </w:rPr>
        <w:t>Transantiago</w:t>
      </w:r>
      <w:proofErr w:type="spellEnd"/>
      <w:r w:rsidRPr="00F111CA">
        <w:rPr>
          <w:rFonts w:ascii="Garamond" w:hAnsi="Garamond"/>
        </w:rPr>
        <w:t>” del Ministerio de Transportes</w:t>
      </w:r>
      <w:r w:rsidR="00736CE6" w:rsidRPr="00F111CA">
        <w:rPr>
          <w:rFonts w:ascii="Garamond" w:hAnsi="Garamond"/>
        </w:rPr>
        <w:t xml:space="preserve"> (MTT)</w:t>
      </w:r>
      <w:r w:rsidRPr="00F111CA">
        <w:rPr>
          <w:rFonts w:ascii="Garamond" w:hAnsi="Garamond"/>
        </w:rPr>
        <w:t>.</w:t>
      </w:r>
    </w:p>
    <w:p w:rsidR="00ED370D" w:rsidRPr="00F111CA" w:rsidRDefault="00ED370D" w:rsidP="00B501AE">
      <w:pPr>
        <w:spacing w:after="120" w:line="240" w:lineRule="auto"/>
        <w:jc w:val="both"/>
        <w:rPr>
          <w:rFonts w:ascii="Garamond" w:hAnsi="Garamond"/>
        </w:rPr>
      </w:pPr>
    </w:p>
    <w:p w:rsidR="00C80D15" w:rsidRPr="00F111CA" w:rsidRDefault="00C80D15" w:rsidP="00B501AE">
      <w:pPr>
        <w:spacing w:after="120" w:line="240" w:lineRule="auto"/>
        <w:rPr>
          <w:rFonts w:ascii="Garamond" w:hAnsi="Garamond"/>
        </w:rPr>
        <w:sectPr w:rsidR="00C80D15" w:rsidRPr="00F111CA" w:rsidSect="00057810">
          <w:pgSz w:w="12240" w:h="15840"/>
          <w:pgMar w:top="1985" w:right="1701" w:bottom="1985" w:left="1701" w:header="708" w:footer="708" w:gutter="0"/>
          <w:cols w:space="708"/>
          <w:docGrid w:linePitch="360"/>
        </w:sectPr>
      </w:pPr>
    </w:p>
    <w:p w:rsidR="00ED370D" w:rsidRPr="00F111CA" w:rsidRDefault="00C666FC" w:rsidP="00057810">
      <w:pPr>
        <w:spacing w:after="0" w:line="240" w:lineRule="auto"/>
        <w:jc w:val="center"/>
        <w:rPr>
          <w:rFonts w:ascii="Garamond" w:hAnsi="Garamond"/>
        </w:rPr>
      </w:pPr>
      <w:r w:rsidRPr="00F111CA">
        <w:rPr>
          <w:rFonts w:ascii="Garamond" w:hAnsi="Garamond"/>
        </w:rPr>
        <w:lastRenderedPageBreak/>
        <w:t>TABLA N° 4</w:t>
      </w:r>
      <w:r w:rsidR="00ED370D" w:rsidRPr="00F111CA">
        <w:rPr>
          <w:rFonts w:ascii="Garamond" w:hAnsi="Garamond"/>
        </w:rPr>
        <w:t>: ESTRUCTURA DE LA DEMANDA DE INVERSIÓN PMU SEGÚN FUENTE: TRADICIONAL Y EMERGENCIA, FIE Y MINISTERIO DE TRANSPORTES</w:t>
      </w:r>
      <w:r w:rsidR="0052181F" w:rsidRPr="00F111CA">
        <w:rPr>
          <w:rFonts w:ascii="Garamond" w:hAnsi="Garamond"/>
        </w:rPr>
        <w:t xml:space="preserve">, </w:t>
      </w:r>
      <w:r w:rsidR="001F68EA" w:rsidRPr="00F111CA">
        <w:rPr>
          <w:rFonts w:ascii="Garamond" w:hAnsi="Garamond"/>
        </w:rPr>
        <w:t>2013-2014</w:t>
      </w:r>
      <w:r w:rsidR="00ED370D" w:rsidRPr="00F111CA">
        <w:rPr>
          <w:rFonts w:ascii="Garamond" w:hAnsi="Garamond"/>
        </w:rPr>
        <w:t xml:space="preserve"> Y ACUMULADO </w:t>
      </w:r>
      <w:r w:rsidR="001F68EA" w:rsidRPr="00F111CA">
        <w:rPr>
          <w:rFonts w:ascii="Garamond" w:hAnsi="Garamond"/>
        </w:rPr>
        <w:t>BIENIO</w:t>
      </w:r>
    </w:p>
    <w:tbl>
      <w:tblPr>
        <w:tblW w:w="14371" w:type="dxa"/>
        <w:jc w:val="center"/>
        <w:tblLayout w:type="fixed"/>
        <w:tblCellMar>
          <w:left w:w="70" w:type="dxa"/>
          <w:right w:w="70" w:type="dxa"/>
        </w:tblCellMar>
        <w:tblLook w:val="04A0" w:firstRow="1" w:lastRow="0" w:firstColumn="1" w:lastColumn="0" w:noHBand="0" w:noVBand="1"/>
      </w:tblPr>
      <w:tblGrid>
        <w:gridCol w:w="3691"/>
        <w:gridCol w:w="557"/>
        <w:gridCol w:w="1235"/>
        <w:gridCol w:w="503"/>
        <w:gridCol w:w="1218"/>
        <w:gridCol w:w="546"/>
        <w:gridCol w:w="1218"/>
        <w:gridCol w:w="504"/>
        <w:gridCol w:w="1218"/>
        <w:gridCol w:w="602"/>
        <w:gridCol w:w="1301"/>
        <w:gridCol w:w="560"/>
        <w:gridCol w:w="1218"/>
      </w:tblGrid>
      <w:tr w:rsidR="009E7609" w:rsidRPr="00A36ABA" w:rsidTr="00A36ABA">
        <w:trPr>
          <w:tblHeader/>
          <w:jc w:val="center"/>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c>
          <w:tcPr>
            <w:tcW w:w="35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80D15" w:rsidRPr="00A36ABA" w:rsidRDefault="00C80D15" w:rsidP="00A36ABA">
            <w:pPr>
              <w:spacing w:after="0" w:line="240" w:lineRule="auto"/>
              <w:jc w:val="center"/>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2013</w:t>
            </w:r>
          </w:p>
        </w:tc>
        <w:tc>
          <w:tcPr>
            <w:tcW w:w="348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80D15" w:rsidRPr="00A36ABA" w:rsidRDefault="00C80D15" w:rsidP="00A36ABA">
            <w:pPr>
              <w:spacing w:after="0" w:line="240" w:lineRule="auto"/>
              <w:jc w:val="center"/>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2014</w:t>
            </w:r>
            <w:r w:rsidR="0072731B" w:rsidRPr="00A36ABA">
              <w:rPr>
                <w:rFonts w:ascii="Garamond" w:eastAsia="Times New Roman" w:hAnsi="Garamond" w:cs="Times New Roman"/>
                <w:b/>
                <w:bCs/>
                <w:color w:val="000000"/>
                <w:sz w:val="18"/>
                <w:szCs w:val="18"/>
                <w:lang w:eastAsia="es-CL"/>
              </w:rPr>
              <w:t xml:space="preserve"> (hasta mayo)</w:t>
            </w:r>
          </w:p>
        </w:tc>
        <w:tc>
          <w:tcPr>
            <w:tcW w:w="368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80D15" w:rsidRPr="00A36ABA" w:rsidRDefault="0072731B" w:rsidP="00A36ABA">
            <w:pPr>
              <w:spacing w:after="0" w:line="240" w:lineRule="auto"/>
              <w:jc w:val="center"/>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ACUMULADO</w:t>
            </w:r>
          </w:p>
        </w:tc>
      </w:tr>
      <w:tr w:rsidR="009E7609" w:rsidRPr="00A36ABA" w:rsidTr="00A36ABA">
        <w:trPr>
          <w:tblHeader/>
          <w:jc w:val="center"/>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EMERGENCIA</w:t>
            </w:r>
          </w:p>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c>
          <w:tcPr>
            <w:tcW w:w="1721" w:type="dxa"/>
            <w:gridSpan w:val="2"/>
            <w:tcBorders>
              <w:top w:val="nil"/>
              <w:left w:val="nil"/>
              <w:bottom w:val="single" w:sz="4" w:space="0" w:color="auto"/>
              <w:right w:val="single" w:sz="4" w:space="0" w:color="auto"/>
            </w:tcBorders>
            <w:shd w:val="clear" w:color="auto" w:fill="auto"/>
            <w:noWrap/>
            <w:vAlign w:val="bottom"/>
            <w:hideMark/>
          </w:tcPr>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TRADICIONAL</w:t>
            </w:r>
          </w:p>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c>
          <w:tcPr>
            <w:tcW w:w="1764" w:type="dxa"/>
            <w:gridSpan w:val="2"/>
            <w:tcBorders>
              <w:top w:val="nil"/>
              <w:left w:val="nil"/>
              <w:bottom w:val="single" w:sz="4" w:space="0" w:color="auto"/>
              <w:right w:val="single" w:sz="4" w:space="0" w:color="auto"/>
            </w:tcBorders>
            <w:shd w:val="clear" w:color="auto" w:fill="auto"/>
            <w:noWrap/>
            <w:vAlign w:val="bottom"/>
            <w:hideMark/>
          </w:tcPr>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EMERGENCIA</w:t>
            </w:r>
          </w:p>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c>
          <w:tcPr>
            <w:tcW w:w="1722" w:type="dxa"/>
            <w:gridSpan w:val="2"/>
            <w:tcBorders>
              <w:top w:val="nil"/>
              <w:left w:val="nil"/>
              <w:bottom w:val="single" w:sz="4" w:space="0" w:color="auto"/>
              <w:right w:val="single" w:sz="4" w:space="0" w:color="auto"/>
            </w:tcBorders>
            <w:shd w:val="clear" w:color="auto" w:fill="auto"/>
            <w:noWrap/>
            <w:vAlign w:val="bottom"/>
            <w:hideMark/>
          </w:tcPr>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TRADICIONAL</w:t>
            </w:r>
          </w:p>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c>
          <w:tcPr>
            <w:tcW w:w="1903" w:type="dxa"/>
            <w:gridSpan w:val="2"/>
            <w:tcBorders>
              <w:top w:val="nil"/>
              <w:left w:val="nil"/>
              <w:bottom w:val="single" w:sz="4" w:space="0" w:color="auto"/>
              <w:right w:val="single" w:sz="4" w:space="0" w:color="auto"/>
            </w:tcBorders>
            <w:shd w:val="clear" w:color="auto" w:fill="auto"/>
            <w:noWrap/>
            <w:vAlign w:val="bottom"/>
            <w:hideMark/>
          </w:tcPr>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EMERGENCIA</w:t>
            </w:r>
          </w:p>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c>
          <w:tcPr>
            <w:tcW w:w="1778" w:type="dxa"/>
            <w:gridSpan w:val="2"/>
            <w:tcBorders>
              <w:top w:val="nil"/>
              <w:left w:val="nil"/>
              <w:bottom w:val="single" w:sz="4" w:space="0" w:color="auto"/>
              <w:right w:val="single" w:sz="4" w:space="0" w:color="auto"/>
            </w:tcBorders>
            <w:shd w:val="clear" w:color="auto" w:fill="auto"/>
            <w:noWrap/>
            <w:vAlign w:val="bottom"/>
            <w:hideMark/>
          </w:tcPr>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TRADICIONAL</w:t>
            </w:r>
          </w:p>
          <w:p w:rsidR="009E7609" w:rsidRPr="00A36ABA" w:rsidRDefault="009E7609" w:rsidP="00A36ABA">
            <w:pPr>
              <w:spacing w:after="0" w:line="240" w:lineRule="auto"/>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w:t>
            </w:r>
          </w:p>
        </w:tc>
      </w:tr>
      <w:tr w:rsidR="00A36ABA" w:rsidRPr="00A36ABA" w:rsidTr="00A36ABA">
        <w:trPr>
          <w:tblHeader/>
          <w:jc w:val="center"/>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bCs/>
                <w:color w:val="000000"/>
                <w:sz w:val="18"/>
                <w:szCs w:val="18"/>
                <w:lang w:eastAsia="es-CL"/>
              </w:rPr>
            </w:pPr>
            <w:proofErr w:type="spellStart"/>
            <w:r w:rsidRPr="00A36ABA">
              <w:rPr>
                <w:rFonts w:ascii="Garamond" w:eastAsia="Times New Roman" w:hAnsi="Garamond" w:cs="Times New Roman"/>
                <w:b/>
                <w:bCs/>
                <w:color w:val="000000"/>
                <w:sz w:val="18"/>
                <w:szCs w:val="18"/>
                <w:lang w:eastAsia="es-CL"/>
              </w:rPr>
              <w:t>Area</w:t>
            </w:r>
            <w:proofErr w:type="spellEnd"/>
            <w:r w:rsidRPr="00A36ABA">
              <w:rPr>
                <w:rFonts w:ascii="Garamond" w:eastAsia="Times New Roman" w:hAnsi="Garamond" w:cs="Times New Roman"/>
                <w:b/>
                <w:bCs/>
                <w:color w:val="000000"/>
                <w:sz w:val="18"/>
                <w:szCs w:val="18"/>
                <w:lang w:eastAsia="es-CL"/>
              </w:rPr>
              <w:t xml:space="preserve"> de Inversión</w:t>
            </w:r>
          </w:p>
        </w:tc>
        <w:tc>
          <w:tcPr>
            <w:tcW w:w="557"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xml:space="preserve">N° </w:t>
            </w:r>
            <w:proofErr w:type="spellStart"/>
            <w:r w:rsidRPr="00A36ABA">
              <w:rPr>
                <w:rFonts w:ascii="Garamond" w:eastAsia="Times New Roman" w:hAnsi="Garamond" w:cs="Times New Roman"/>
                <w:b/>
                <w:bCs/>
                <w:color w:val="000000"/>
                <w:sz w:val="18"/>
                <w:szCs w:val="18"/>
                <w:lang w:eastAsia="es-CL"/>
              </w:rPr>
              <w:t>proy</w:t>
            </w:r>
            <w:proofErr w:type="spellEnd"/>
          </w:p>
        </w:tc>
        <w:tc>
          <w:tcPr>
            <w:tcW w:w="1235"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SUBDERE</w:t>
            </w:r>
          </w:p>
        </w:tc>
        <w:tc>
          <w:tcPr>
            <w:tcW w:w="503"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xml:space="preserve">N° </w:t>
            </w:r>
            <w:proofErr w:type="spellStart"/>
            <w:r w:rsidRPr="00A36ABA">
              <w:rPr>
                <w:rFonts w:ascii="Garamond" w:eastAsia="Times New Roman" w:hAnsi="Garamond" w:cs="Times New Roman"/>
                <w:b/>
                <w:bCs/>
                <w:color w:val="000000"/>
                <w:sz w:val="18"/>
                <w:szCs w:val="18"/>
                <w:lang w:eastAsia="es-CL"/>
              </w:rPr>
              <w:t>proy</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SUBDERE</w:t>
            </w:r>
          </w:p>
        </w:tc>
        <w:tc>
          <w:tcPr>
            <w:tcW w:w="546"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xml:space="preserve">N° </w:t>
            </w:r>
            <w:proofErr w:type="spellStart"/>
            <w:r w:rsidRPr="00A36ABA">
              <w:rPr>
                <w:rFonts w:ascii="Garamond" w:eastAsia="Times New Roman" w:hAnsi="Garamond" w:cs="Times New Roman"/>
                <w:b/>
                <w:bCs/>
                <w:color w:val="000000"/>
                <w:sz w:val="18"/>
                <w:szCs w:val="18"/>
                <w:lang w:eastAsia="es-CL"/>
              </w:rPr>
              <w:t>proy</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SUBDERE</w:t>
            </w:r>
          </w:p>
        </w:tc>
        <w:tc>
          <w:tcPr>
            <w:tcW w:w="504"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xml:space="preserve">N° </w:t>
            </w:r>
            <w:proofErr w:type="spellStart"/>
            <w:r w:rsidRPr="00A36ABA">
              <w:rPr>
                <w:rFonts w:ascii="Garamond" w:eastAsia="Times New Roman" w:hAnsi="Garamond" w:cs="Times New Roman"/>
                <w:b/>
                <w:bCs/>
                <w:color w:val="000000"/>
                <w:sz w:val="18"/>
                <w:szCs w:val="18"/>
                <w:lang w:eastAsia="es-CL"/>
              </w:rPr>
              <w:t>proy</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SUBDERE</w:t>
            </w:r>
          </w:p>
        </w:tc>
        <w:tc>
          <w:tcPr>
            <w:tcW w:w="602"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xml:space="preserve">N° </w:t>
            </w:r>
            <w:proofErr w:type="spellStart"/>
            <w:r w:rsidRPr="00A36ABA">
              <w:rPr>
                <w:rFonts w:ascii="Garamond" w:eastAsia="Times New Roman" w:hAnsi="Garamond" w:cs="Times New Roman"/>
                <w:b/>
                <w:bCs/>
                <w:color w:val="000000"/>
                <w:sz w:val="18"/>
                <w:szCs w:val="18"/>
                <w:lang w:eastAsia="es-CL"/>
              </w:rPr>
              <w:t>proy</w:t>
            </w:r>
            <w:proofErr w:type="spellEnd"/>
          </w:p>
        </w:tc>
        <w:tc>
          <w:tcPr>
            <w:tcW w:w="1301"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SUBDERE</w:t>
            </w:r>
          </w:p>
        </w:tc>
        <w:tc>
          <w:tcPr>
            <w:tcW w:w="560"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xml:space="preserve">N° </w:t>
            </w:r>
            <w:proofErr w:type="spellStart"/>
            <w:r w:rsidRPr="00A36ABA">
              <w:rPr>
                <w:rFonts w:ascii="Garamond" w:eastAsia="Times New Roman" w:hAnsi="Garamond" w:cs="Times New Roman"/>
                <w:b/>
                <w:bCs/>
                <w:color w:val="000000"/>
                <w:sz w:val="18"/>
                <w:szCs w:val="18"/>
                <w:lang w:eastAsia="es-CL"/>
              </w:rPr>
              <w:t>proy</w:t>
            </w:r>
            <w:proofErr w:type="spellEnd"/>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bCs/>
                <w:color w:val="000000"/>
                <w:sz w:val="18"/>
                <w:szCs w:val="18"/>
                <w:lang w:eastAsia="es-CL"/>
              </w:rPr>
            </w:pPr>
            <w:r w:rsidRPr="00A36ABA">
              <w:rPr>
                <w:rFonts w:ascii="Garamond" w:eastAsia="Times New Roman" w:hAnsi="Garamond" w:cs="Times New Roman"/>
                <w:b/>
                <w:bCs/>
                <w:color w:val="000000"/>
                <w:sz w:val="18"/>
                <w:szCs w:val="18"/>
                <w:lang w:eastAsia="es-CL"/>
              </w:rPr>
              <w:t>$ SUBDERE</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ALUMBRADO</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40</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1.638.031.813</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250.395.878</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2.846.115.759</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393.690.433</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114</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4.496.483.546</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23</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644.086.311</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ÁREAS VERDES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307</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12.942.691.992</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87</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2.410.063.066</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169</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6.610.680.123</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119</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3.319.827.498</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476</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19.553.372.115</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206</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5.729.890.564</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CAMINOS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518.896.285</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16.500.000</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297.907.620</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13</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476.361.706</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816.803.905</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492.861.706</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CEMENTERIOS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29</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1.205.056.416</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153.946.340</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454.023.535</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149.887.987</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41</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1.659.079.951</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303.834.327</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CONSTRUCCIÓN CALLES/ACERAS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202</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8.381.011.752</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99</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3.060.228.297</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7.772.366.069</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165</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5.578.558.156</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396</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16.282.174.027</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264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8.638.786.453</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ESPACIO ACTIVO</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90</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1.846.587.808</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90</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1.846.587.808</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INFRAESTRUCTURA DE SALUD</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54</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1.912.820.807</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31.872.642</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789.166.267</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49.474.201</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73</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2.701.987.074</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81.346.843</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INFRAESTRUCTURA DEPORTIVA</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393</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16.721.035.843</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1.640.430.847</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7.577.292.641</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1.573.486.678</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585</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24.348.290.871</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104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3.213.917.525</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INFRAESTRUCTURA ESCUELAS Y LICEOS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119</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5.374.558.695</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541.235.615</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43</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-6.612.577</w:t>
            </w:r>
            <w:r>
              <w:rPr>
                <w:rFonts w:ascii="Garamond" w:hAnsi="Garamond"/>
                <w:sz w:val="18"/>
                <w:szCs w:val="18"/>
              </w:rPr>
              <w:t>*</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474.100.959</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162</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7.353.332.923</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1.015.336.574</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OBRAS CONSISTORIALES/MUNICIPALES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112</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4.584.096.624</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26</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600.844.120</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48</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2.038.415.328</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771.481.916</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160</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6.622.511.952</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58</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1.372.326.036</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OTRAS OBRAS URBANAS/RURALES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223</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9.358.708.235</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68</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1.922.388.897</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90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3.068.313.147</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104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3.469.319.918</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313</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12.584.387.556</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172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5.391.708.815</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PASARELAS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819.461.538</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32.082.760</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193.016.552</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37.175.876</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26</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1.012.478.090</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69.258.636</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PLAZA ACTIVA</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132</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4.442.434.035</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241.092.539</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1.088.898.901</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172.617.774</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164</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5.531.332.936</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413.710.313</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RIEGO</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25.319.300</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25.319.300</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SEDES SOCIALES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300</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11.787.278.226</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27</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752.776.743</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209</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8.201.674.234</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791.487.021</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509</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19.988.952.460</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61</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1.544.263.764</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SERVICIOS BÁSICOS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43</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1.678.785.028</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14</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270.382.582</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45</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1.269.926.160</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12</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266.421.084</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88</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2.971.478.225</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26</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536.803.666</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VARIOS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199.435.510</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105.662.374</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44.160.000</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276000000</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5</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243.595.510</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8</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381.662.374</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A36ABA" w:rsidRDefault="00A36ABA" w:rsidP="00A36ABA">
            <w:pPr>
              <w:spacing w:after="0" w:line="240" w:lineRule="auto"/>
              <w:rPr>
                <w:rFonts w:ascii="Garamond" w:hAnsi="Garamond"/>
                <w:sz w:val="18"/>
                <w:szCs w:val="18"/>
              </w:rPr>
            </w:pPr>
            <w:r w:rsidRPr="00A36ABA">
              <w:rPr>
                <w:rFonts w:ascii="Garamond" w:hAnsi="Garamond"/>
                <w:sz w:val="18"/>
                <w:szCs w:val="18"/>
              </w:rPr>
              <w:t>VERTEDEROS</w:t>
            </w:r>
          </w:p>
        </w:tc>
        <w:tc>
          <w:tcPr>
            <w:tcW w:w="557"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w:t>
            </w:r>
          </w:p>
        </w:tc>
        <w:tc>
          <w:tcPr>
            <w:tcW w:w="1235"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112.287.118</w:t>
            </w:r>
          </w:p>
        </w:tc>
        <w:tc>
          <w:tcPr>
            <w:tcW w:w="503"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546"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504"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602"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3</w:t>
            </w:r>
          </w:p>
        </w:tc>
        <w:tc>
          <w:tcPr>
            <w:tcW w:w="1301"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112.287.118</w:t>
            </w:r>
          </w:p>
        </w:tc>
        <w:tc>
          <w:tcPr>
            <w:tcW w:w="560"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r w:rsidRPr="00A36ABA">
              <w:rPr>
                <w:rFonts w:ascii="Garamond" w:hAnsi="Garamond"/>
                <w:sz w:val="18"/>
                <w:szCs w:val="18"/>
              </w:rPr>
              <w:t>0</w:t>
            </w:r>
          </w:p>
        </w:tc>
        <w:tc>
          <w:tcPr>
            <w:tcW w:w="1218" w:type="dxa"/>
            <w:tcBorders>
              <w:top w:val="nil"/>
              <w:left w:val="nil"/>
              <w:bottom w:val="single" w:sz="4" w:space="0" w:color="auto"/>
              <w:right w:val="single" w:sz="4" w:space="0" w:color="auto"/>
            </w:tcBorders>
            <w:shd w:val="clear" w:color="auto" w:fill="auto"/>
            <w:noWrap/>
            <w:hideMark/>
          </w:tcPr>
          <w:p w:rsidR="00A36ABA" w:rsidRPr="00A36ABA" w:rsidRDefault="00A36ABA" w:rsidP="00A36ABA">
            <w:pPr>
              <w:spacing w:after="0" w:line="240" w:lineRule="auto"/>
              <w:jc w:val="right"/>
              <w:rPr>
                <w:rFonts w:ascii="Garamond" w:hAnsi="Garamond"/>
                <w:sz w:val="18"/>
                <w:szCs w:val="18"/>
              </w:rPr>
            </w:pP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hideMark/>
          </w:tcPr>
          <w:p w:rsidR="00A36ABA" w:rsidRPr="00BE53DB" w:rsidRDefault="00A36ABA" w:rsidP="00A36ABA">
            <w:pPr>
              <w:spacing w:after="0" w:line="240" w:lineRule="auto"/>
              <w:rPr>
                <w:rFonts w:ascii="Garamond" w:hAnsi="Garamond"/>
                <w:b/>
                <w:sz w:val="18"/>
                <w:szCs w:val="18"/>
              </w:rPr>
            </w:pPr>
            <w:r w:rsidRPr="00BE53DB">
              <w:rPr>
                <w:rFonts w:ascii="Garamond" w:hAnsi="Garamond"/>
                <w:b/>
                <w:sz w:val="18"/>
                <w:szCs w:val="18"/>
              </w:rPr>
              <w:t>Total general</w:t>
            </w:r>
          </w:p>
        </w:tc>
        <w:tc>
          <w:tcPr>
            <w:tcW w:w="557"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2.082</w:t>
            </w:r>
          </w:p>
        </w:tc>
        <w:tc>
          <w:tcPr>
            <w:tcW w:w="1235"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83.523.177.725</w:t>
            </w:r>
          </w:p>
        </w:tc>
        <w:tc>
          <w:tcPr>
            <w:tcW w:w="503"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429</w:t>
            </w:r>
          </w:p>
        </w:tc>
        <w:tc>
          <w:tcPr>
            <w:tcW w:w="1218"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12.055.222.000</w:t>
            </w:r>
          </w:p>
        </w:tc>
        <w:tc>
          <w:tcPr>
            <w:tcW w:w="546"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1.142</w:t>
            </w:r>
          </w:p>
        </w:tc>
        <w:tc>
          <w:tcPr>
            <w:tcW w:w="1218"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42.245.343.759</w:t>
            </w:r>
          </w:p>
        </w:tc>
        <w:tc>
          <w:tcPr>
            <w:tcW w:w="504"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584</w:t>
            </w:r>
          </w:p>
        </w:tc>
        <w:tc>
          <w:tcPr>
            <w:tcW w:w="1218"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17.799.891.207</w:t>
            </w:r>
          </w:p>
        </w:tc>
        <w:tc>
          <w:tcPr>
            <w:tcW w:w="602"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3.224</w:t>
            </w:r>
          </w:p>
        </w:tc>
        <w:tc>
          <w:tcPr>
            <w:tcW w:w="1301"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128.125.136.067</w:t>
            </w:r>
          </w:p>
        </w:tc>
        <w:tc>
          <w:tcPr>
            <w:tcW w:w="560"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1.013</w:t>
            </w:r>
          </w:p>
        </w:tc>
        <w:tc>
          <w:tcPr>
            <w:tcW w:w="1218" w:type="dxa"/>
            <w:tcBorders>
              <w:top w:val="nil"/>
              <w:left w:val="nil"/>
              <w:bottom w:val="single" w:sz="4" w:space="0" w:color="auto"/>
              <w:right w:val="single" w:sz="4" w:space="0" w:color="auto"/>
            </w:tcBorders>
            <w:shd w:val="clear" w:color="auto" w:fill="auto"/>
            <w:noWrap/>
            <w:hideMark/>
          </w:tcPr>
          <w:p w:rsidR="00A36ABA" w:rsidRPr="00BE53DB" w:rsidRDefault="00A36ABA" w:rsidP="00A36ABA">
            <w:pPr>
              <w:spacing w:after="0" w:line="240" w:lineRule="auto"/>
              <w:jc w:val="right"/>
              <w:rPr>
                <w:rFonts w:ascii="Garamond" w:hAnsi="Garamond"/>
                <w:b/>
                <w:sz w:val="18"/>
                <w:szCs w:val="18"/>
              </w:rPr>
            </w:pPr>
            <w:r w:rsidRPr="00BE53DB">
              <w:rPr>
                <w:rFonts w:ascii="Garamond" w:hAnsi="Garamond"/>
                <w:b/>
                <w:sz w:val="18"/>
                <w:szCs w:val="18"/>
              </w:rPr>
              <w:t>29.855.113.207</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557"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35"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503"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546"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504"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602"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301"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560"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FIE</w:t>
            </w:r>
          </w:p>
        </w:tc>
        <w:tc>
          <w:tcPr>
            <w:tcW w:w="557"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643</w:t>
            </w:r>
          </w:p>
        </w:tc>
        <w:tc>
          <w:tcPr>
            <w:tcW w:w="1235"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23.224.708.043</w:t>
            </w:r>
          </w:p>
        </w:tc>
        <w:tc>
          <w:tcPr>
            <w:tcW w:w="503"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546"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952</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21.187.345.707</w:t>
            </w:r>
          </w:p>
        </w:tc>
        <w:tc>
          <w:tcPr>
            <w:tcW w:w="504"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602"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1.595</w:t>
            </w:r>
          </w:p>
        </w:tc>
        <w:tc>
          <w:tcPr>
            <w:tcW w:w="1301"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44.412.053.750</w:t>
            </w:r>
          </w:p>
        </w:tc>
        <w:tc>
          <w:tcPr>
            <w:tcW w:w="560"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FIE/EMERGENCIA</w:t>
            </w:r>
            <w:r w:rsidR="00D46FDF">
              <w:rPr>
                <w:rFonts w:ascii="Garamond" w:eastAsia="Times New Roman" w:hAnsi="Garamond" w:cs="Times New Roman"/>
                <w:b/>
                <w:color w:val="000000"/>
                <w:sz w:val="18"/>
                <w:szCs w:val="18"/>
                <w:lang w:eastAsia="es-CL"/>
              </w:rPr>
              <w:t xml:space="preserve"> (con FIE y MTT)</w:t>
            </w:r>
          </w:p>
        </w:tc>
        <w:tc>
          <w:tcPr>
            <w:tcW w:w="557"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35"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21,8%</w:t>
            </w:r>
          </w:p>
        </w:tc>
        <w:tc>
          <w:tcPr>
            <w:tcW w:w="503"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546"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47,8%</w:t>
            </w:r>
          </w:p>
        </w:tc>
        <w:tc>
          <w:tcPr>
            <w:tcW w:w="504"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602"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301"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25,7%</w:t>
            </w:r>
          </w:p>
        </w:tc>
        <w:tc>
          <w:tcPr>
            <w:tcW w:w="560"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Sólo MTT</w:t>
            </w:r>
          </w:p>
        </w:tc>
        <w:tc>
          <w:tcPr>
            <w:tcW w:w="557"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16</w:t>
            </w:r>
          </w:p>
        </w:tc>
        <w:tc>
          <w:tcPr>
            <w:tcW w:w="1235"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602.544.093</w:t>
            </w:r>
          </w:p>
        </w:tc>
        <w:tc>
          <w:tcPr>
            <w:tcW w:w="503"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546"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5</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231.928.693</w:t>
            </w:r>
          </w:p>
        </w:tc>
        <w:tc>
          <w:tcPr>
            <w:tcW w:w="504"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602"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21</w:t>
            </w:r>
          </w:p>
        </w:tc>
        <w:tc>
          <w:tcPr>
            <w:tcW w:w="1301"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834.472.786</w:t>
            </w:r>
          </w:p>
        </w:tc>
        <w:tc>
          <w:tcPr>
            <w:tcW w:w="560"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color w:val="000000"/>
                <w:sz w:val="18"/>
                <w:szCs w:val="18"/>
                <w:lang w:eastAsia="es-CL"/>
              </w:rPr>
            </w:pPr>
            <w:r w:rsidRPr="00A36ABA">
              <w:rPr>
                <w:rFonts w:ascii="Garamond" w:eastAsia="Times New Roman" w:hAnsi="Garamond" w:cs="Times New Roman"/>
                <w:color w:val="000000"/>
                <w:sz w:val="18"/>
                <w:szCs w:val="18"/>
                <w:lang w:eastAsia="es-CL"/>
              </w:rPr>
              <w:t> </w:t>
            </w:r>
          </w:p>
        </w:tc>
      </w:tr>
      <w:tr w:rsidR="00A36ABA" w:rsidRPr="00A36ABA" w:rsidTr="00A36ABA">
        <w:trPr>
          <w:jc w:val="center"/>
        </w:trPr>
        <w:tc>
          <w:tcPr>
            <w:tcW w:w="3691" w:type="dxa"/>
            <w:tcBorders>
              <w:top w:val="nil"/>
              <w:left w:val="single" w:sz="4" w:space="0" w:color="auto"/>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MTT/EMERGENCIA</w:t>
            </w:r>
            <w:r w:rsidR="00D46FDF">
              <w:rPr>
                <w:rFonts w:ascii="Garamond" w:eastAsia="Times New Roman" w:hAnsi="Garamond" w:cs="Times New Roman"/>
                <w:b/>
                <w:color w:val="000000"/>
                <w:sz w:val="18"/>
                <w:szCs w:val="18"/>
                <w:lang w:eastAsia="es-CL"/>
              </w:rPr>
              <w:t xml:space="preserve"> (con MTT y FIE)</w:t>
            </w:r>
          </w:p>
        </w:tc>
        <w:tc>
          <w:tcPr>
            <w:tcW w:w="557"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35"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0,6%</w:t>
            </w:r>
          </w:p>
        </w:tc>
        <w:tc>
          <w:tcPr>
            <w:tcW w:w="503"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546"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0,5%</w:t>
            </w:r>
          </w:p>
        </w:tc>
        <w:tc>
          <w:tcPr>
            <w:tcW w:w="504"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602"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301"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jc w:val="right"/>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0,5%</w:t>
            </w:r>
          </w:p>
        </w:tc>
        <w:tc>
          <w:tcPr>
            <w:tcW w:w="560"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c>
          <w:tcPr>
            <w:tcW w:w="1218" w:type="dxa"/>
            <w:tcBorders>
              <w:top w:val="nil"/>
              <w:left w:val="nil"/>
              <w:bottom w:val="single" w:sz="4" w:space="0" w:color="auto"/>
              <w:right w:val="single" w:sz="4" w:space="0" w:color="auto"/>
            </w:tcBorders>
            <w:shd w:val="clear" w:color="auto" w:fill="auto"/>
            <w:noWrap/>
            <w:vAlign w:val="bottom"/>
            <w:hideMark/>
          </w:tcPr>
          <w:p w:rsidR="00C80D15" w:rsidRPr="00A36ABA" w:rsidRDefault="00C80D15" w:rsidP="00A36ABA">
            <w:pPr>
              <w:spacing w:after="0" w:line="240" w:lineRule="auto"/>
              <w:rPr>
                <w:rFonts w:ascii="Garamond" w:eastAsia="Times New Roman" w:hAnsi="Garamond" w:cs="Times New Roman"/>
                <w:b/>
                <w:color w:val="000000"/>
                <w:sz w:val="18"/>
                <w:szCs w:val="18"/>
                <w:lang w:eastAsia="es-CL"/>
              </w:rPr>
            </w:pPr>
            <w:r w:rsidRPr="00A36ABA">
              <w:rPr>
                <w:rFonts w:ascii="Garamond" w:eastAsia="Times New Roman" w:hAnsi="Garamond" w:cs="Times New Roman"/>
                <w:b/>
                <w:color w:val="000000"/>
                <w:sz w:val="18"/>
                <w:szCs w:val="18"/>
                <w:lang w:eastAsia="es-CL"/>
              </w:rPr>
              <w:t> </w:t>
            </w:r>
          </w:p>
        </w:tc>
      </w:tr>
    </w:tbl>
    <w:p w:rsidR="00A36ABA" w:rsidRPr="00A36ABA" w:rsidRDefault="00A36ABA" w:rsidP="00A36ABA">
      <w:pPr>
        <w:tabs>
          <w:tab w:val="left" w:pos="1521"/>
        </w:tabs>
        <w:rPr>
          <w:rFonts w:ascii="Garamond" w:hAnsi="Garamond"/>
          <w:sz w:val="18"/>
          <w:szCs w:val="18"/>
        </w:rPr>
      </w:pPr>
      <w:r w:rsidRPr="00A36ABA">
        <w:rPr>
          <w:rFonts w:ascii="Garamond" w:hAnsi="Garamond"/>
          <w:sz w:val="18"/>
          <w:szCs w:val="18"/>
        </w:rPr>
        <w:tab/>
        <w:t xml:space="preserve">* </w:t>
      </w:r>
      <w:r w:rsidR="00D46FDF">
        <w:rPr>
          <w:rFonts w:ascii="Garamond" w:hAnsi="Garamond"/>
          <w:sz w:val="18"/>
          <w:szCs w:val="18"/>
        </w:rPr>
        <w:t>Cifra negativa es resultado de los márgenes de error explicados al comienzo de la sección II.2.</w:t>
      </w:r>
    </w:p>
    <w:p w:rsidR="00C80D15" w:rsidRPr="00A36ABA" w:rsidRDefault="00A36ABA" w:rsidP="00A36ABA">
      <w:pPr>
        <w:tabs>
          <w:tab w:val="left" w:pos="1521"/>
        </w:tabs>
        <w:rPr>
          <w:rFonts w:ascii="Garamond" w:hAnsi="Garamond"/>
          <w:sz w:val="18"/>
          <w:szCs w:val="18"/>
        </w:rPr>
        <w:sectPr w:rsidR="00C80D15" w:rsidRPr="00A36ABA" w:rsidSect="00057810">
          <w:pgSz w:w="15840" w:h="12240" w:orient="landscape"/>
          <w:pgMar w:top="1985" w:right="720" w:bottom="1985" w:left="720" w:header="708" w:footer="708" w:gutter="0"/>
          <w:cols w:space="708"/>
          <w:docGrid w:linePitch="360"/>
        </w:sectPr>
      </w:pPr>
      <w:r>
        <w:rPr>
          <w:rFonts w:ascii="Garamond" w:hAnsi="Garamond"/>
          <w:sz w:val="18"/>
          <w:szCs w:val="18"/>
        </w:rPr>
        <w:tab/>
      </w:r>
    </w:p>
    <w:p w:rsidR="00CE5816" w:rsidRPr="00F111CA" w:rsidRDefault="00CE5816" w:rsidP="00B501AE">
      <w:pPr>
        <w:spacing w:after="120" w:line="240" w:lineRule="auto"/>
        <w:jc w:val="center"/>
        <w:rPr>
          <w:rFonts w:ascii="Garamond" w:hAnsi="Garamond"/>
        </w:rPr>
      </w:pPr>
    </w:p>
    <w:p w:rsidR="00E23866" w:rsidRPr="00F111CA" w:rsidRDefault="00CE5816" w:rsidP="00B501AE">
      <w:pPr>
        <w:spacing w:after="120" w:line="240" w:lineRule="auto"/>
        <w:jc w:val="both"/>
        <w:rPr>
          <w:rFonts w:ascii="Garamond" w:hAnsi="Garamond"/>
        </w:rPr>
      </w:pPr>
      <w:r w:rsidRPr="00F111CA">
        <w:rPr>
          <w:rFonts w:ascii="Garamond" w:hAnsi="Garamond"/>
        </w:rPr>
        <w:t>Considerando que</w:t>
      </w:r>
      <w:r w:rsidR="0072731B" w:rsidRPr="00F111CA">
        <w:rPr>
          <w:rFonts w:ascii="Garamond" w:hAnsi="Garamond"/>
        </w:rPr>
        <w:t>,</w:t>
      </w:r>
      <w:r w:rsidR="001A2003">
        <w:rPr>
          <w:rFonts w:ascii="Garamond" w:hAnsi="Garamond"/>
        </w:rPr>
        <w:t xml:space="preserve"> según la glosa presupuestaria</w:t>
      </w:r>
      <w:r w:rsidR="0072731B" w:rsidRPr="00F111CA">
        <w:rPr>
          <w:rFonts w:ascii="Garamond" w:hAnsi="Garamond"/>
        </w:rPr>
        <w:t>,</w:t>
      </w:r>
      <w:r w:rsidRPr="00F111CA">
        <w:rPr>
          <w:rFonts w:ascii="Garamond" w:hAnsi="Garamond"/>
        </w:rPr>
        <w:t xml:space="preserve"> </w:t>
      </w:r>
      <w:r w:rsidR="00776570" w:rsidRPr="00F111CA">
        <w:rPr>
          <w:rFonts w:ascii="Garamond" w:hAnsi="Garamond"/>
        </w:rPr>
        <w:t>l</w:t>
      </w:r>
      <w:r w:rsidRPr="00F111CA">
        <w:rPr>
          <w:rFonts w:ascii="Garamond" w:hAnsi="Garamond"/>
        </w:rPr>
        <w:t>a relación potencial del presupuesto PMU Tradicional / PMU Emergencia</w:t>
      </w:r>
      <w:r w:rsidR="00776570" w:rsidRPr="00F111CA">
        <w:rPr>
          <w:rFonts w:ascii="Garamond" w:hAnsi="Garamond"/>
        </w:rPr>
        <w:t xml:space="preserve"> es</w:t>
      </w:r>
      <w:r w:rsidRPr="00F111CA">
        <w:rPr>
          <w:rFonts w:ascii="Garamond" w:hAnsi="Garamond"/>
        </w:rPr>
        <w:t xml:space="preserve"> de 75/25</w:t>
      </w:r>
      <w:r w:rsidR="00776570" w:rsidRPr="00F111CA">
        <w:rPr>
          <w:rFonts w:ascii="Garamond" w:hAnsi="Garamond"/>
        </w:rPr>
        <w:t>, l</w:t>
      </w:r>
      <w:r w:rsidRPr="00F111CA">
        <w:rPr>
          <w:rFonts w:ascii="Garamond" w:hAnsi="Garamond"/>
        </w:rPr>
        <w:t xml:space="preserve">lama la atención la relación </w:t>
      </w:r>
      <w:r w:rsidR="00776570" w:rsidRPr="00F111CA">
        <w:rPr>
          <w:rFonts w:ascii="Garamond" w:hAnsi="Garamond"/>
        </w:rPr>
        <w:t xml:space="preserve">real </w:t>
      </w:r>
      <w:r w:rsidRPr="00F111CA">
        <w:rPr>
          <w:rFonts w:ascii="Garamond" w:hAnsi="Garamond"/>
        </w:rPr>
        <w:t>de proporción entre la demanda de proyectos vía Tradicional y la demanda vía Emergencia</w:t>
      </w:r>
      <w:r w:rsidR="00A36ABA">
        <w:rPr>
          <w:rFonts w:ascii="Garamond" w:hAnsi="Garamond"/>
        </w:rPr>
        <w:t xml:space="preserve"> (excluido FIE)</w:t>
      </w:r>
      <w:r w:rsidRPr="00F111CA">
        <w:rPr>
          <w:rFonts w:ascii="Garamond" w:hAnsi="Garamond"/>
        </w:rPr>
        <w:t xml:space="preserve">: </w:t>
      </w:r>
      <w:r w:rsidR="00776570" w:rsidRPr="00F111CA">
        <w:rPr>
          <w:rFonts w:ascii="Garamond" w:hAnsi="Garamond"/>
        </w:rPr>
        <w:t>el PMU Emergencia</w:t>
      </w:r>
      <w:r w:rsidR="003902DA" w:rsidRPr="00F111CA">
        <w:rPr>
          <w:rFonts w:ascii="Garamond" w:hAnsi="Garamond"/>
        </w:rPr>
        <w:t xml:space="preserve"> </w:t>
      </w:r>
      <w:r w:rsidR="00A36ABA">
        <w:rPr>
          <w:rFonts w:ascii="Garamond" w:hAnsi="Garamond"/>
        </w:rPr>
        <w:t xml:space="preserve">se mueve entre el 70 y el 87 % </w:t>
      </w:r>
      <w:r w:rsidR="001F68EA" w:rsidRPr="00F111CA">
        <w:rPr>
          <w:rFonts w:ascii="Garamond" w:hAnsi="Garamond"/>
        </w:rPr>
        <w:t>durante el bienio</w:t>
      </w:r>
      <w:r w:rsidR="00776570" w:rsidRPr="00F111CA">
        <w:rPr>
          <w:rFonts w:ascii="Garamond" w:hAnsi="Garamond"/>
        </w:rPr>
        <w:t xml:space="preserve">. Es decir, la relación es más que inversa </w:t>
      </w:r>
      <w:r w:rsidR="00E64D6C" w:rsidRPr="00F111CA">
        <w:rPr>
          <w:rFonts w:ascii="Garamond" w:hAnsi="Garamond"/>
        </w:rPr>
        <w:t xml:space="preserve">en relación con </w:t>
      </w:r>
      <w:r w:rsidR="00776570" w:rsidRPr="00F111CA">
        <w:rPr>
          <w:rFonts w:ascii="Garamond" w:hAnsi="Garamond"/>
        </w:rPr>
        <w:t xml:space="preserve">lo que establece </w:t>
      </w:r>
      <w:r w:rsidR="00464480" w:rsidRPr="00F111CA">
        <w:rPr>
          <w:rFonts w:ascii="Garamond" w:hAnsi="Garamond"/>
        </w:rPr>
        <w:t xml:space="preserve">ese </w:t>
      </w:r>
      <w:r w:rsidR="00776570" w:rsidRPr="00F111CA">
        <w:rPr>
          <w:rFonts w:ascii="Garamond" w:hAnsi="Garamond"/>
        </w:rPr>
        <w:t>cuerpo legal.</w:t>
      </w:r>
    </w:p>
    <w:p w:rsidR="00CE5816" w:rsidRPr="00F111CA" w:rsidRDefault="00C666FC" w:rsidP="00B501AE">
      <w:pPr>
        <w:spacing w:after="120" w:line="240" w:lineRule="auto"/>
        <w:jc w:val="both"/>
        <w:rPr>
          <w:rFonts w:ascii="Garamond" w:hAnsi="Garamond"/>
        </w:rPr>
      </w:pPr>
      <w:r w:rsidRPr="00F111CA">
        <w:rPr>
          <w:rFonts w:ascii="Garamond" w:hAnsi="Garamond"/>
        </w:rPr>
        <w:t>El Gráfico N° 4</w:t>
      </w:r>
      <w:r w:rsidR="00E23866" w:rsidRPr="00F111CA">
        <w:rPr>
          <w:rFonts w:ascii="Garamond" w:hAnsi="Garamond"/>
        </w:rPr>
        <w:t xml:space="preserve"> c</w:t>
      </w:r>
      <w:r w:rsidR="00CE5816" w:rsidRPr="00F111CA">
        <w:rPr>
          <w:rFonts w:ascii="Garamond" w:hAnsi="Garamond"/>
        </w:rPr>
        <w:t>o</w:t>
      </w:r>
      <w:r w:rsidR="00E23866" w:rsidRPr="00F111CA">
        <w:rPr>
          <w:rFonts w:ascii="Garamond" w:hAnsi="Garamond"/>
        </w:rPr>
        <w:t>mpara</w:t>
      </w:r>
      <w:r w:rsidR="00CE5816" w:rsidRPr="00F111CA">
        <w:rPr>
          <w:rFonts w:ascii="Garamond" w:hAnsi="Garamond"/>
        </w:rPr>
        <w:t xml:space="preserve"> la participación de las</w:t>
      </w:r>
      <w:r w:rsidR="00A36ABA">
        <w:rPr>
          <w:rFonts w:ascii="Garamond" w:hAnsi="Garamond"/>
        </w:rPr>
        <w:t xml:space="preserve"> 18</w:t>
      </w:r>
      <w:r w:rsidR="00CE5816" w:rsidRPr="00F111CA">
        <w:rPr>
          <w:rFonts w:ascii="Garamond" w:hAnsi="Garamond"/>
        </w:rPr>
        <w:t xml:space="preserve"> Áreas de Inversión dentro del total de recursos </w:t>
      </w:r>
      <w:r w:rsidR="00E23866" w:rsidRPr="00F111CA">
        <w:rPr>
          <w:rFonts w:ascii="Garamond" w:hAnsi="Garamond"/>
        </w:rPr>
        <w:t xml:space="preserve">en PMU </w:t>
      </w:r>
      <w:r w:rsidR="00CE5816" w:rsidRPr="00F111CA">
        <w:rPr>
          <w:rFonts w:ascii="Garamond" w:hAnsi="Garamond"/>
        </w:rPr>
        <w:t xml:space="preserve">Tradicional </w:t>
      </w:r>
      <w:r w:rsidR="00776570" w:rsidRPr="00F111CA">
        <w:rPr>
          <w:rFonts w:ascii="Garamond" w:hAnsi="Garamond"/>
        </w:rPr>
        <w:t>y</w:t>
      </w:r>
      <w:r w:rsidR="00CE5816" w:rsidRPr="00F111CA">
        <w:rPr>
          <w:rFonts w:ascii="Garamond" w:hAnsi="Garamond"/>
        </w:rPr>
        <w:t xml:space="preserve"> </w:t>
      </w:r>
      <w:r w:rsidR="00E23866" w:rsidRPr="00F111CA">
        <w:rPr>
          <w:rFonts w:ascii="Garamond" w:hAnsi="Garamond"/>
        </w:rPr>
        <w:t>en PMU Emergencia.</w:t>
      </w:r>
    </w:p>
    <w:p w:rsidR="00E23866" w:rsidRPr="00F111CA" w:rsidRDefault="00E23866" w:rsidP="00B501AE">
      <w:pPr>
        <w:spacing w:after="120" w:line="240" w:lineRule="auto"/>
        <w:jc w:val="both"/>
        <w:rPr>
          <w:rFonts w:ascii="Garamond" w:hAnsi="Garamond"/>
        </w:rPr>
      </w:pPr>
    </w:p>
    <w:p w:rsidR="00452AF0" w:rsidRPr="00F111CA" w:rsidRDefault="00C666FC" w:rsidP="00B501AE">
      <w:pPr>
        <w:spacing w:after="120" w:line="240" w:lineRule="auto"/>
        <w:jc w:val="center"/>
        <w:rPr>
          <w:rFonts w:ascii="Garamond" w:hAnsi="Garamond"/>
          <w:b/>
        </w:rPr>
      </w:pPr>
      <w:r w:rsidRPr="00F111CA">
        <w:rPr>
          <w:rFonts w:ascii="Garamond" w:hAnsi="Garamond"/>
        </w:rPr>
        <w:t>GRÁFICO N° 4</w:t>
      </w:r>
      <w:r w:rsidR="00776570" w:rsidRPr="00F111CA">
        <w:rPr>
          <w:rFonts w:ascii="Garamond" w:hAnsi="Garamond"/>
        </w:rPr>
        <w:t>: COMPARACIÓN ESTRUCTURA DE DEMANDA PMU TRADICIONAL Y PMU EMERGENCIA</w:t>
      </w:r>
      <w:r w:rsidR="00D46FDF">
        <w:rPr>
          <w:rFonts w:ascii="Garamond" w:hAnsi="Garamond"/>
        </w:rPr>
        <w:t xml:space="preserve"> (sin FIE)</w:t>
      </w:r>
      <w:r w:rsidR="00776570" w:rsidRPr="00F111CA">
        <w:rPr>
          <w:rFonts w:ascii="Garamond" w:hAnsi="Garamond"/>
        </w:rPr>
        <w:t xml:space="preserve">, </w:t>
      </w:r>
      <w:r w:rsidR="00477D3F" w:rsidRPr="00F111CA">
        <w:rPr>
          <w:rFonts w:ascii="Garamond" w:hAnsi="Garamond"/>
        </w:rPr>
        <w:t xml:space="preserve">2013 – </w:t>
      </w:r>
      <w:r w:rsidR="0072731B" w:rsidRPr="00F111CA">
        <w:rPr>
          <w:rFonts w:ascii="Garamond" w:hAnsi="Garamond"/>
        </w:rPr>
        <w:t xml:space="preserve">MAYO </w:t>
      </w:r>
      <w:r w:rsidR="00477D3F" w:rsidRPr="00F111CA">
        <w:rPr>
          <w:rFonts w:ascii="Garamond" w:hAnsi="Garamond"/>
        </w:rPr>
        <w:t>2014 Y ACUMULADO</w:t>
      </w:r>
    </w:p>
    <w:p w:rsidR="00E23866" w:rsidRPr="00F111CA" w:rsidRDefault="00A36ABA" w:rsidP="00B501AE">
      <w:pPr>
        <w:spacing w:after="120" w:line="240" w:lineRule="auto"/>
        <w:jc w:val="both"/>
        <w:rPr>
          <w:rFonts w:ascii="Garamond" w:hAnsi="Garamond"/>
        </w:rPr>
      </w:pPr>
      <w:r>
        <w:rPr>
          <w:noProof/>
          <w:lang w:eastAsia="es-CL"/>
        </w:rPr>
        <w:drawing>
          <wp:inline distT="0" distB="0" distL="0" distR="0" wp14:anchorId="7664F12B" wp14:editId="5FC8FF74">
            <wp:extent cx="5612130" cy="4022090"/>
            <wp:effectExtent l="0" t="0" r="7620"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6ABA" w:rsidRDefault="00A36ABA" w:rsidP="00B501AE">
      <w:pPr>
        <w:spacing w:after="120" w:line="240" w:lineRule="auto"/>
        <w:jc w:val="both"/>
        <w:rPr>
          <w:rFonts w:ascii="Garamond" w:hAnsi="Garamond"/>
        </w:rPr>
      </w:pPr>
    </w:p>
    <w:p w:rsidR="00B21760" w:rsidRDefault="00076F00" w:rsidP="00B501AE">
      <w:pPr>
        <w:spacing w:after="120" w:line="240" w:lineRule="auto"/>
        <w:jc w:val="both"/>
        <w:rPr>
          <w:rFonts w:ascii="Garamond" w:hAnsi="Garamond"/>
        </w:rPr>
      </w:pPr>
      <w:r w:rsidRPr="00F111CA">
        <w:rPr>
          <w:rFonts w:ascii="Garamond" w:hAnsi="Garamond"/>
        </w:rPr>
        <w:t>Se observa que las estructuras de la demanda de inversión para cada fuente</w:t>
      </w:r>
      <w:r w:rsidR="00736CE6" w:rsidRPr="00F111CA">
        <w:rPr>
          <w:rFonts w:ascii="Garamond" w:hAnsi="Garamond"/>
        </w:rPr>
        <w:t xml:space="preserve"> –tradicional, emergencia–</w:t>
      </w:r>
      <w:r w:rsidRPr="00F111CA">
        <w:rPr>
          <w:rFonts w:ascii="Garamond" w:hAnsi="Garamond"/>
        </w:rPr>
        <w:t xml:space="preserve"> son distintas</w:t>
      </w:r>
      <w:r w:rsidR="00A627D1" w:rsidRPr="00F111CA">
        <w:rPr>
          <w:rFonts w:ascii="Garamond" w:hAnsi="Garamond"/>
        </w:rPr>
        <w:t>.</w:t>
      </w:r>
      <w:r w:rsidR="003D0059" w:rsidRPr="00F111CA">
        <w:rPr>
          <w:rFonts w:ascii="Garamond" w:hAnsi="Garamond"/>
        </w:rPr>
        <w:t xml:space="preserve"> </w:t>
      </w:r>
      <w:r w:rsidR="00D46FDF">
        <w:rPr>
          <w:rFonts w:ascii="Garamond" w:hAnsi="Garamond"/>
        </w:rPr>
        <w:t xml:space="preserve">Las diferencias más marcadas se producen en Construcción Calles y Aceras (celeste fuerte), que es el área dominante para Tradicional, con una participación de 25 a 31 % dentro de ése ítem, versus entre 10 y 18 % de participación dentro de la línea Emergencia. En ésta, el área dominante es Infraestructura Deportiva (café oscuro), que </w:t>
      </w:r>
      <w:r w:rsidR="00B21760">
        <w:rPr>
          <w:rFonts w:ascii="Garamond" w:hAnsi="Garamond"/>
        </w:rPr>
        <w:t>ocupa</w:t>
      </w:r>
      <w:r w:rsidR="00D46FDF">
        <w:rPr>
          <w:rFonts w:ascii="Garamond" w:hAnsi="Garamond"/>
        </w:rPr>
        <w:t xml:space="preserve"> alrededor del 20 %</w:t>
      </w:r>
      <w:r w:rsidR="00A627D1" w:rsidRPr="00F111CA">
        <w:rPr>
          <w:rFonts w:ascii="Garamond" w:hAnsi="Garamond"/>
        </w:rPr>
        <w:t xml:space="preserve"> </w:t>
      </w:r>
      <w:r w:rsidR="00D46FDF">
        <w:rPr>
          <w:rFonts w:ascii="Garamond" w:hAnsi="Garamond"/>
        </w:rPr>
        <w:t xml:space="preserve">de la demanda, contra alrededor del 10 % de participación en la fuente Tradicional. </w:t>
      </w:r>
      <w:r w:rsidR="00B21760">
        <w:rPr>
          <w:rFonts w:ascii="Garamond" w:hAnsi="Garamond"/>
        </w:rPr>
        <w:t xml:space="preserve">Aunque con montos algo menores, hay diferencias </w:t>
      </w:r>
      <w:r w:rsidR="00B21760">
        <w:rPr>
          <w:rFonts w:ascii="Garamond" w:hAnsi="Garamond"/>
        </w:rPr>
        <w:lastRenderedPageBreak/>
        <w:t>semejantes entre Tradicional y Emergencia en el caso del Área Áreas Verdes, mientras que lo inverso sucede en Otras Obras Urbanas/Rurales, que está mucho más presente en Tradicional (de 15 a 20 % del total) que en Emergencia (entre 7 y 12 %).</w:t>
      </w:r>
    </w:p>
    <w:p w:rsidR="00B21760" w:rsidRDefault="00B21760" w:rsidP="00B501AE">
      <w:pPr>
        <w:spacing w:after="120" w:line="240" w:lineRule="auto"/>
        <w:jc w:val="both"/>
        <w:rPr>
          <w:rFonts w:ascii="Garamond" w:hAnsi="Garamond"/>
        </w:rPr>
      </w:pPr>
      <w:r>
        <w:rPr>
          <w:rFonts w:ascii="Garamond" w:hAnsi="Garamond"/>
        </w:rPr>
        <w:t xml:space="preserve">El </w:t>
      </w:r>
      <w:r w:rsidR="00E23866" w:rsidRPr="00F111CA">
        <w:rPr>
          <w:rFonts w:ascii="Garamond" w:hAnsi="Garamond"/>
        </w:rPr>
        <w:t>Á</w:t>
      </w:r>
      <w:r w:rsidR="00A627D1" w:rsidRPr="00F111CA">
        <w:rPr>
          <w:rFonts w:ascii="Garamond" w:hAnsi="Garamond"/>
        </w:rPr>
        <w:t xml:space="preserve">rea </w:t>
      </w:r>
      <w:r w:rsidR="003D0059" w:rsidRPr="00F111CA">
        <w:rPr>
          <w:rFonts w:ascii="Garamond" w:hAnsi="Garamond"/>
        </w:rPr>
        <w:t xml:space="preserve">Infraestructura </w:t>
      </w:r>
      <w:r w:rsidR="00A627D1" w:rsidRPr="00F111CA">
        <w:rPr>
          <w:rFonts w:ascii="Garamond" w:hAnsi="Garamond"/>
        </w:rPr>
        <w:t>E</w:t>
      </w:r>
      <w:r w:rsidR="00736CE6" w:rsidRPr="00F111CA">
        <w:rPr>
          <w:rFonts w:ascii="Garamond" w:hAnsi="Garamond"/>
        </w:rPr>
        <w:t xml:space="preserve">scuelas y </w:t>
      </w:r>
      <w:r w:rsidR="00A627D1" w:rsidRPr="00F111CA">
        <w:rPr>
          <w:rFonts w:ascii="Garamond" w:hAnsi="Garamond"/>
        </w:rPr>
        <w:t>L</w:t>
      </w:r>
      <w:r w:rsidR="00736CE6" w:rsidRPr="00F111CA">
        <w:rPr>
          <w:rFonts w:ascii="Garamond" w:hAnsi="Garamond"/>
        </w:rPr>
        <w:t>iceos</w:t>
      </w:r>
      <w:r w:rsidR="003D0059" w:rsidRPr="00F111CA">
        <w:rPr>
          <w:rFonts w:ascii="Garamond" w:hAnsi="Garamond"/>
        </w:rPr>
        <w:t xml:space="preserve"> </w:t>
      </w:r>
      <w:r w:rsidR="009D360F" w:rsidRPr="00F111CA">
        <w:rPr>
          <w:rFonts w:ascii="Garamond" w:hAnsi="Garamond"/>
        </w:rPr>
        <w:t>(Verde petróleo</w:t>
      </w:r>
      <w:r w:rsidR="00D46FDF">
        <w:rPr>
          <w:rFonts w:ascii="Garamond" w:hAnsi="Garamond"/>
        </w:rPr>
        <w:t xml:space="preserve">), aún sin incorporar FIE, </w:t>
      </w:r>
      <w:proofErr w:type="gramStart"/>
      <w:r w:rsidR="00A627D1" w:rsidRPr="00F111CA">
        <w:rPr>
          <w:rFonts w:ascii="Garamond" w:hAnsi="Garamond"/>
        </w:rPr>
        <w:t>es</w:t>
      </w:r>
      <w:proofErr w:type="gramEnd"/>
      <w:r w:rsidR="00A627D1" w:rsidRPr="00F111CA">
        <w:rPr>
          <w:rFonts w:ascii="Garamond" w:hAnsi="Garamond"/>
        </w:rPr>
        <w:t xml:space="preserve"> proporcionalmente mayor en PMU Emergencia que en Tradicional en los </w:t>
      </w:r>
      <w:r w:rsidR="009D360F" w:rsidRPr="00F111CA">
        <w:rPr>
          <w:rFonts w:ascii="Garamond" w:hAnsi="Garamond"/>
        </w:rPr>
        <w:t xml:space="preserve">2 </w:t>
      </w:r>
      <w:r>
        <w:rPr>
          <w:rFonts w:ascii="Garamond" w:hAnsi="Garamond"/>
        </w:rPr>
        <w:t>años estudiados, aunque su importancia relativa en ambas fuentes es de moderada a menor (menos de 7 %).</w:t>
      </w:r>
    </w:p>
    <w:p w:rsidR="006928B8" w:rsidRPr="00F111CA" w:rsidRDefault="006928B8" w:rsidP="00B501AE">
      <w:pPr>
        <w:spacing w:after="120" w:line="240" w:lineRule="auto"/>
        <w:jc w:val="both"/>
        <w:rPr>
          <w:rFonts w:ascii="Garamond" w:hAnsi="Garamond"/>
        </w:rPr>
      </w:pPr>
      <w:r w:rsidRPr="00F111CA">
        <w:rPr>
          <w:rFonts w:ascii="Garamond" w:hAnsi="Garamond"/>
        </w:rPr>
        <w:t xml:space="preserve">Volviendo a la Tabla N° </w:t>
      </w:r>
      <w:r w:rsidR="00C666FC" w:rsidRPr="00F111CA">
        <w:rPr>
          <w:rFonts w:ascii="Garamond" w:hAnsi="Garamond"/>
        </w:rPr>
        <w:t>4</w:t>
      </w:r>
      <w:r w:rsidRPr="00F111CA">
        <w:rPr>
          <w:rFonts w:ascii="Garamond" w:hAnsi="Garamond"/>
        </w:rPr>
        <w:t xml:space="preserve">, notamos que los montos de origen FIE </w:t>
      </w:r>
      <w:r w:rsidR="00FB5686" w:rsidRPr="00F111CA">
        <w:rPr>
          <w:rFonts w:ascii="Garamond" w:hAnsi="Garamond"/>
        </w:rPr>
        <w:t xml:space="preserve">oscilan entre </w:t>
      </w:r>
      <w:r w:rsidR="0036723E" w:rsidRPr="00F111CA">
        <w:rPr>
          <w:rFonts w:ascii="Garamond" w:hAnsi="Garamond"/>
        </w:rPr>
        <w:t>un 21% y un 47</w:t>
      </w:r>
      <w:r w:rsidR="00FB5686" w:rsidRPr="00F111CA">
        <w:rPr>
          <w:rFonts w:ascii="Garamond" w:hAnsi="Garamond"/>
        </w:rPr>
        <w:t xml:space="preserve"> % del PMU Emergencia, totalizando una participación de </w:t>
      </w:r>
      <w:r w:rsidR="0036723E" w:rsidRPr="00F111CA">
        <w:rPr>
          <w:rFonts w:ascii="Garamond" w:hAnsi="Garamond"/>
        </w:rPr>
        <w:t>25,7</w:t>
      </w:r>
      <w:r w:rsidR="00FB5686" w:rsidRPr="00F111CA">
        <w:rPr>
          <w:rFonts w:ascii="Garamond" w:hAnsi="Garamond"/>
        </w:rPr>
        <w:t xml:space="preserve"> % en la suma del </w:t>
      </w:r>
      <w:r w:rsidR="0036723E" w:rsidRPr="00F111CA">
        <w:rPr>
          <w:rFonts w:ascii="Garamond" w:hAnsi="Garamond"/>
        </w:rPr>
        <w:t>b</w:t>
      </w:r>
      <w:r w:rsidR="00FB5686" w:rsidRPr="00F111CA">
        <w:rPr>
          <w:rFonts w:ascii="Garamond" w:hAnsi="Garamond"/>
        </w:rPr>
        <w:t>ienio; el aporte de</w:t>
      </w:r>
      <w:r w:rsidRPr="00F111CA">
        <w:rPr>
          <w:rFonts w:ascii="Garamond" w:hAnsi="Garamond"/>
        </w:rPr>
        <w:t xml:space="preserve"> MTT</w:t>
      </w:r>
      <w:r w:rsidR="00FB5686" w:rsidRPr="00F111CA">
        <w:rPr>
          <w:rFonts w:ascii="Garamond" w:hAnsi="Garamond"/>
        </w:rPr>
        <w:t xml:space="preserve">, por su parte, es </w:t>
      </w:r>
      <w:r w:rsidR="00E23866" w:rsidRPr="00F111CA">
        <w:rPr>
          <w:rFonts w:ascii="Garamond" w:hAnsi="Garamond"/>
        </w:rPr>
        <w:t xml:space="preserve">porcentualmente </w:t>
      </w:r>
      <w:r w:rsidR="00FB5686" w:rsidRPr="00F111CA">
        <w:rPr>
          <w:rFonts w:ascii="Garamond" w:hAnsi="Garamond"/>
        </w:rPr>
        <w:t xml:space="preserve">más </w:t>
      </w:r>
      <w:r w:rsidR="00E23866" w:rsidRPr="00F111CA">
        <w:rPr>
          <w:rFonts w:ascii="Garamond" w:hAnsi="Garamond"/>
        </w:rPr>
        <w:t>bajo y constante</w:t>
      </w:r>
      <w:r w:rsidR="00FB5686" w:rsidRPr="00F111CA">
        <w:rPr>
          <w:rFonts w:ascii="Garamond" w:hAnsi="Garamond"/>
        </w:rPr>
        <w:t xml:space="preserve">, </w:t>
      </w:r>
      <w:r w:rsidR="0036723E" w:rsidRPr="00F111CA">
        <w:rPr>
          <w:rFonts w:ascii="Garamond" w:hAnsi="Garamond"/>
        </w:rPr>
        <w:t>estando entre un 0,5% y 0,6%</w:t>
      </w:r>
      <w:r w:rsidR="00FB5686" w:rsidRPr="00F111CA">
        <w:rPr>
          <w:rFonts w:ascii="Garamond" w:hAnsi="Garamond"/>
        </w:rPr>
        <w:t>.</w:t>
      </w:r>
      <w:r w:rsidR="006E2E05" w:rsidRPr="00F111CA">
        <w:rPr>
          <w:rFonts w:ascii="Garamond" w:hAnsi="Garamond"/>
        </w:rPr>
        <w:t xml:space="preserve"> </w:t>
      </w:r>
      <w:r w:rsidRPr="00F111CA">
        <w:rPr>
          <w:rFonts w:ascii="Garamond" w:hAnsi="Garamond"/>
        </w:rPr>
        <w:t xml:space="preserve">Esto se muestra en el Gráfico N° </w:t>
      </w:r>
      <w:r w:rsidR="00C666FC" w:rsidRPr="00F111CA">
        <w:rPr>
          <w:rFonts w:ascii="Garamond" w:hAnsi="Garamond"/>
        </w:rPr>
        <w:t>5</w:t>
      </w:r>
      <w:r w:rsidRPr="00F111CA">
        <w:rPr>
          <w:rFonts w:ascii="Garamond" w:hAnsi="Garamond"/>
        </w:rPr>
        <w:t>.</w:t>
      </w:r>
    </w:p>
    <w:p w:rsidR="00076F00" w:rsidRPr="00F111CA" w:rsidRDefault="00076F00" w:rsidP="00B501AE">
      <w:pPr>
        <w:spacing w:after="120" w:line="240" w:lineRule="auto"/>
        <w:jc w:val="both"/>
        <w:rPr>
          <w:rFonts w:ascii="Garamond" w:hAnsi="Garamond"/>
        </w:rPr>
      </w:pPr>
    </w:p>
    <w:p w:rsidR="00BF39E3" w:rsidRPr="00F111CA" w:rsidRDefault="00C666FC" w:rsidP="00B501AE">
      <w:pPr>
        <w:spacing w:after="120" w:line="240" w:lineRule="auto"/>
        <w:jc w:val="center"/>
        <w:rPr>
          <w:rFonts w:ascii="Garamond" w:hAnsi="Garamond"/>
        </w:rPr>
      </w:pPr>
      <w:r w:rsidRPr="00F111CA">
        <w:rPr>
          <w:rFonts w:ascii="Garamond" w:hAnsi="Garamond"/>
        </w:rPr>
        <w:t>GRÁFICO N° 5</w:t>
      </w:r>
      <w:r w:rsidR="00076F00" w:rsidRPr="00F111CA">
        <w:rPr>
          <w:rFonts w:ascii="Garamond" w:hAnsi="Garamond"/>
        </w:rPr>
        <w:t xml:space="preserve">: PARTICIPACIÓN DE LA DEMANDA FIE Y FONDO DEL MINISTERIO DE TRANSPORTES EN LA DEMANDA TOTAL PMU EMERGENCIA, </w:t>
      </w:r>
      <w:r w:rsidR="00BF39E3" w:rsidRPr="00F111CA">
        <w:rPr>
          <w:rFonts w:ascii="Garamond" w:hAnsi="Garamond"/>
        </w:rPr>
        <w:t>2013-2014 Y ACUMULADO BIENIO</w:t>
      </w:r>
    </w:p>
    <w:p w:rsidR="00C06A7F" w:rsidRPr="00F111CA" w:rsidRDefault="00C2781A" w:rsidP="006E2E05">
      <w:pPr>
        <w:jc w:val="center"/>
        <w:rPr>
          <w:rFonts w:ascii="Garamond" w:hAnsi="Garamond"/>
        </w:rPr>
      </w:pPr>
      <w:r w:rsidRPr="00F111CA">
        <w:rPr>
          <w:rFonts w:ascii="Garamond" w:hAnsi="Garamond"/>
          <w:noProof/>
          <w:lang w:eastAsia="es-CL"/>
        </w:rPr>
        <w:t xml:space="preserve"> </w:t>
      </w:r>
      <w:r w:rsidR="00BF39E3" w:rsidRPr="00F111CA">
        <w:rPr>
          <w:rFonts w:ascii="Garamond" w:hAnsi="Garamond"/>
          <w:noProof/>
          <w:lang w:eastAsia="es-CL"/>
        </w:rPr>
        <w:drawing>
          <wp:inline distT="0" distB="0" distL="0" distR="0" wp14:anchorId="3FD2C32E" wp14:editId="428A045B">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4F4F" w:rsidRPr="00F111CA" w:rsidRDefault="00900A72" w:rsidP="005F1093">
      <w:pPr>
        <w:spacing w:after="120" w:line="240" w:lineRule="auto"/>
        <w:rPr>
          <w:rFonts w:ascii="Garamond" w:hAnsi="Garamond"/>
          <w:b/>
          <w:sz w:val="36"/>
        </w:rPr>
        <w:sectPr w:rsidR="00614F4F" w:rsidRPr="00F111CA" w:rsidSect="00057810">
          <w:pgSz w:w="12240" w:h="15840"/>
          <w:pgMar w:top="1985" w:right="1701" w:bottom="1985" w:left="1701" w:header="708" w:footer="708" w:gutter="0"/>
          <w:cols w:space="708"/>
          <w:docGrid w:linePitch="360"/>
        </w:sectPr>
      </w:pPr>
      <w:r w:rsidRPr="00F111CA">
        <w:rPr>
          <w:rFonts w:ascii="Garamond" w:hAnsi="Garamond"/>
          <w:b/>
          <w:sz w:val="36"/>
        </w:rPr>
        <w:br w:type="page"/>
      </w:r>
    </w:p>
    <w:p w:rsidR="00FD547B" w:rsidRPr="00F111CA" w:rsidRDefault="00FD547B" w:rsidP="00AB4DFC">
      <w:pPr>
        <w:pStyle w:val="Prrafodelista"/>
        <w:numPr>
          <w:ilvl w:val="0"/>
          <w:numId w:val="18"/>
        </w:numPr>
        <w:spacing w:line="240" w:lineRule="auto"/>
        <w:contextualSpacing w:val="0"/>
        <w:rPr>
          <w:rFonts w:ascii="Garamond" w:hAnsi="Garamond"/>
          <w:b/>
          <w:sz w:val="24"/>
          <w:szCs w:val="24"/>
        </w:rPr>
      </w:pPr>
      <w:r w:rsidRPr="00F111CA">
        <w:rPr>
          <w:rFonts w:ascii="Garamond" w:hAnsi="Garamond"/>
          <w:b/>
          <w:sz w:val="24"/>
          <w:szCs w:val="24"/>
        </w:rPr>
        <w:lastRenderedPageBreak/>
        <w:t>INVERSIÓN EFECTIVA PMU</w:t>
      </w:r>
    </w:p>
    <w:p w:rsidR="00FD547B" w:rsidRPr="00F111CA" w:rsidRDefault="00FD547B" w:rsidP="005F1093">
      <w:pPr>
        <w:pStyle w:val="Prrafodelista"/>
        <w:numPr>
          <w:ilvl w:val="0"/>
          <w:numId w:val="20"/>
        </w:numPr>
        <w:spacing w:after="120" w:line="240" w:lineRule="auto"/>
        <w:contextualSpacing w:val="0"/>
        <w:rPr>
          <w:rFonts w:ascii="Garamond" w:hAnsi="Garamond"/>
        </w:rPr>
      </w:pPr>
      <w:r w:rsidRPr="00F111CA">
        <w:rPr>
          <w:rFonts w:ascii="Garamond" w:hAnsi="Garamond"/>
          <w:b/>
        </w:rPr>
        <w:t>ÁREAS DE INVERSIÓN EFECTIVA</w:t>
      </w:r>
    </w:p>
    <w:p w:rsidR="00CE64FB" w:rsidRPr="00F111CA" w:rsidRDefault="00CE64FB" w:rsidP="005F1093">
      <w:pPr>
        <w:spacing w:after="120" w:line="240" w:lineRule="auto"/>
        <w:jc w:val="both"/>
        <w:rPr>
          <w:rFonts w:ascii="Garamond" w:hAnsi="Garamond"/>
        </w:rPr>
      </w:pPr>
      <w:r w:rsidRPr="00F111CA">
        <w:rPr>
          <w:rFonts w:ascii="Garamond" w:hAnsi="Garamond"/>
        </w:rPr>
        <w:t xml:space="preserve">Entenderemos por inversión efectiva al conjunto de proyectos que están en alguna de las etapas que van desde su aprobación hasta su cierre. </w:t>
      </w:r>
      <w:r w:rsidR="001203D6" w:rsidRPr="00F111CA">
        <w:rPr>
          <w:rFonts w:ascii="Garamond" w:hAnsi="Garamond"/>
        </w:rPr>
        <w:t>Tal como en el caso de l</w:t>
      </w:r>
      <w:r w:rsidR="00FD547B" w:rsidRPr="00F111CA">
        <w:rPr>
          <w:rFonts w:ascii="Garamond" w:hAnsi="Garamond"/>
        </w:rPr>
        <w:t xml:space="preserve">a </w:t>
      </w:r>
      <w:r w:rsidR="001203D6" w:rsidRPr="00F111CA">
        <w:rPr>
          <w:rFonts w:ascii="Garamond" w:hAnsi="Garamond"/>
        </w:rPr>
        <w:t xml:space="preserve">demanda de inversión, hemos categorizado la </w:t>
      </w:r>
      <w:r w:rsidR="00FD547B" w:rsidRPr="00F111CA">
        <w:rPr>
          <w:rFonts w:ascii="Garamond" w:hAnsi="Garamond"/>
        </w:rPr>
        <w:t>inversión efectiva</w:t>
      </w:r>
      <w:r w:rsidR="001203D6" w:rsidRPr="00F111CA">
        <w:rPr>
          <w:rFonts w:ascii="Garamond" w:hAnsi="Garamond"/>
        </w:rPr>
        <w:t xml:space="preserve"> del PMU</w:t>
      </w:r>
      <w:r w:rsidR="00B501AE" w:rsidRPr="00F111CA">
        <w:rPr>
          <w:rFonts w:ascii="Garamond" w:hAnsi="Garamond"/>
        </w:rPr>
        <w:t xml:space="preserve">, en este caso en </w:t>
      </w:r>
      <w:r w:rsidR="005607C6" w:rsidRPr="00F111CA">
        <w:rPr>
          <w:rFonts w:ascii="Garamond" w:hAnsi="Garamond"/>
        </w:rPr>
        <w:t>21</w:t>
      </w:r>
      <w:r w:rsidR="00FD547B" w:rsidRPr="00F111CA">
        <w:rPr>
          <w:rFonts w:ascii="Garamond" w:hAnsi="Garamond"/>
        </w:rPr>
        <w:t xml:space="preserve"> Áreas de Inversión</w:t>
      </w:r>
      <w:r w:rsidR="00B501AE" w:rsidRPr="00F111CA">
        <w:rPr>
          <w:rFonts w:ascii="Garamond" w:hAnsi="Garamond"/>
        </w:rPr>
        <w:t xml:space="preserve">, distintas de las utilizadas en </w:t>
      </w:r>
      <w:r w:rsidR="005F1093" w:rsidRPr="00F111CA">
        <w:rPr>
          <w:rFonts w:ascii="Garamond" w:hAnsi="Garamond"/>
        </w:rPr>
        <w:t>el análisis de la demanda</w:t>
      </w:r>
      <w:r w:rsidR="005607C6" w:rsidRPr="00F111CA">
        <w:rPr>
          <w:rFonts w:ascii="Garamond" w:hAnsi="Garamond"/>
        </w:rPr>
        <w:t>,</w:t>
      </w:r>
      <w:r w:rsidRPr="00F111CA">
        <w:rPr>
          <w:rFonts w:ascii="Garamond" w:hAnsi="Garamond"/>
        </w:rPr>
        <w:t xml:space="preserve"> en virtud de lo que ofrece la fuente de información (</w:t>
      </w:r>
      <w:r w:rsidR="00E23866" w:rsidRPr="00F111CA">
        <w:rPr>
          <w:rFonts w:ascii="Garamond" w:hAnsi="Garamond"/>
        </w:rPr>
        <w:t xml:space="preserve">como se dijo en la Introducción, </w:t>
      </w:r>
      <w:r w:rsidRPr="00F111CA">
        <w:rPr>
          <w:rFonts w:ascii="Garamond" w:hAnsi="Garamond"/>
        </w:rPr>
        <w:t>es otra base de datos, que incorpora todos los proyectos desde la etapa de aprobados hasta cerrados).</w:t>
      </w:r>
    </w:p>
    <w:p w:rsidR="001203D6" w:rsidRPr="00F111CA" w:rsidRDefault="00CE64FB" w:rsidP="005F1093">
      <w:pPr>
        <w:spacing w:after="120" w:line="240" w:lineRule="auto"/>
        <w:jc w:val="both"/>
        <w:rPr>
          <w:rFonts w:ascii="Garamond" w:hAnsi="Garamond"/>
        </w:rPr>
      </w:pPr>
      <w:r w:rsidRPr="00F111CA">
        <w:rPr>
          <w:rFonts w:ascii="Garamond" w:hAnsi="Garamond"/>
        </w:rPr>
        <w:t xml:space="preserve">Los datos </w:t>
      </w:r>
      <w:r w:rsidR="005607C6" w:rsidRPr="00F111CA">
        <w:rPr>
          <w:rFonts w:ascii="Garamond" w:hAnsi="Garamond"/>
        </w:rPr>
        <w:t>se muestran en la tabla N°</w:t>
      </w:r>
      <w:r w:rsidRPr="00F111CA">
        <w:rPr>
          <w:rFonts w:ascii="Garamond" w:hAnsi="Garamond"/>
        </w:rPr>
        <w:t xml:space="preserve"> </w:t>
      </w:r>
      <w:r w:rsidR="00C666FC" w:rsidRPr="00F111CA">
        <w:rPr>
          <w:rFonts w:ascii="Garamond" w:hAnsi="Garamond"/>
        </w:rPr>
        <w:t>5</w:t>
      </w:r>
      <w:r w:rsidR="00E23866" w:rsidRPr="00F111CA">
        <w:rPr>
          <w:rFonts w:ascii="Garamond" w:hAnsi="Garamond"/>
        </w:rPr>
        <w:t>.</w:t>
      </w:r>
    </w:p>
    <w:p w:rsidR="005F1093" w:rsidRPr="00F111CA" w:rsidRDefault="005F1093" w:rsidP="005F1093">
      <w:pPr>
        <w:spacing w:after="120" w:line="240" w:lineRule="auto"/>
        <w:jc w:val="both"/>
        <w:rPr>
          <w:rFonts w:ascii="Garamond" w:hAnsi="Garamond"/>
        </w:rPr>
      </w:pPr>
    </w:p>
    <w:p w:rsidR="001203D6" w:rsidRPr="00F111CA" w:rsidRDefault="001203D6" w:rsidP="005F1093">
      <w:pPr>
        <w:spacing w:after="120" w:line="240" w:lineRule="auto"/>
        <w:jc w:val="center"/>
        <w:rPr>
          <w:rFonts w:ascii="Garamond" w:hAnsi="Garamond"/>
        </w:rPr>
      </w:pPr>
      <w:r w:rsidRPr="00F111CA">
        <w:rPr>
          <w:rFonts w:ascii="Garamond" w:hAnsi="Garamond"/>
        </w:rPr>
        <w:t xml:space="preserve">TABLA N° </w:t>
      </w:r>
      <w:r w:rsidR="00C666FC" w:rsidRPr="00F111CA">
        <w:rPr>
          <w:rFonts w:ascii="Garamond" w:hAnsi="Garamond"/>
        </w:rPr>
        <w:t>5</w:t>
      </w:r>
      <w:r w:rsidRPr="00F111CA">
        <w:rPr>
          <w:rFonts w:ascii="Garamond" w:hAnsi="Garamond"/>
        </w:rPr>
        <w:t xml:space="preserve">: </w:t>
      </w:r>
      <w:r w:rsidR="00296662" w:rsidRPr="00F111CA">
        <w:rPr>
          <w:rFonts w:ascii="Garamond" w:hAnsi="Garamond"/>
        </w:rPr>
        <w:t xml:space="preserve">ÁREAS DE INVERSIÓN EN CARTERA EFECTIVA, RECURSOS INVERTIDOS Y PARTICIPACIÓN DE CADA </w:t>
      </w:r>
      <w:r w:rsidR="00F56FAA" w:rsidRPr="00F111CA">
        <w:rPr>
          <w:rFonts w:ascii="Garamond" w:hAnsi="Garamond"/>
        </w:rPr>
        <w:t xml:space="preserve">ÁREA DE INVERSIÓN </w:t>
      </w:r>
      <w:r w:rsidR="005356B7" w:rsidRPr="00F111CA">
        <w:rPr>
          <w:rFonts w:ascii="Garamond" w:hAnsi="Garamond"/>
        </w:rPr>
        <w:t>2011-2013 Y TRIENIO</w:t>
      </w:r>
    </w:p>
    <w:tbl>
      <w:tblPr>
        <w:tblW w:w="10279" w:type="dxa"/>
        <w:jc w:val="center"/>
        <w:tblLayout w:type="fixed"/>
        <w:tblCellMar>
          <w:left w:w="70" w:type="dxa"/>
          <w:right w:w="70" w:type="dxa"/>
        </w:tblCellMar>
        <w:tblLook w:val="04A0" w:firstRow="1" w:lastRow="0" w:firstColumn="1" w:lastColumn="0" w:noHBand="0" w:noVBand="1"/>
      </w:tblPr>
      <w:tblGrid>
        <w:gridCol w:w="4125"/>
        <w:gridCol w:w="1161"/>
        <w:gridCol w:w="704"/>
        <w:gridCol w:w="508"/>
        <w:gridCol w:w="704"/>
        <w:gridCol w:w="1161"/>
        <w:gridCol w:w="704"/>
        <w:gridCol w:w="508"/>
        <w:gridCol w:w="704"/>
      </w:tblGrid>
      <w:tr w:rsidR="00772F08" w:rsidRPr="00F111CA" w:rsidTr="005F1093">
        <w:trPr>
          <w:trHeight w:val="225"/>
          <w:jc w:val="center"/>
        </w:trPr>
        <w:tc>
          <w:tcPr>
            <w:tcW w:w="4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 </w:t>
            </w:r>
          </w:p>
        </w:tc>
        <w:tc>
          <w:tcPr>
            <w:tcW w:w="3077" w:type="dxa"/>
            <w:gridSpan w:val="4"/>
            <w:tcBorders>
              <w:top w:val="single" w:sz="4" w:space="0" w:color="auto"/>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center"/>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Total 2011</w:t>
            </w:r>
          </w:p>
        </w:tc>
        <w:tc>
          <w:tcPr>
            <w:tcW w:w="3077" w:type="dxa"/>
            <w:gridSpan w:val="4"/>
            <w:tcBorders>
              <w:top w:val="single" w:sz="4" w:space="0" w:color="auto"/>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center"/>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Total 2012</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ÁREAS DE INVERSIÓN</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N°</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 N°</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N°</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 N°</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Aceras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6.026.416.000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9,07%</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10,54%</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4.730.827.558</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6,99%</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165</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8,22%</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Áreas verdes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2.387.175.000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3,59%</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4,64%</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3.752.358.261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5,55%</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6,52%</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Construcción y mejoramiento de canchas deportivas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6.183.707.000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9,31%</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8,24%</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6.728.067.281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9,94%</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8,62%</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Consultorios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1.221.671.000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1,84%</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46</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2,07%</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682.468.436</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1,01%</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1,05%</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Escuelas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16.790.151.000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25,28%</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474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21,35%</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19.593.570.983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28,96%</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517</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25,75%</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Implementación de deportes alternativos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620.417.000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0,93%</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0,68%</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905.667.371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1,34%</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1,20%</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Infraestructura de servicios municipales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3.881.791.000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5,84%</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6,44%</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1.605.541.759</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2,37%</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2,54%</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Instalaciones sanitarias y obras civiles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3.326.209.000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5,01%</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5,14%</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2.208.096.594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3,26%</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3,49%</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Jardín infantil</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308.960.000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0,47%</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0,41%</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285.041.076</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0,42%</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0,50%</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Pasarela peatonal y puentes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1.557.360.000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2,34%</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45</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2,03%</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1.886.943.321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2,79%</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57</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2,84%</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Pavimentación y mejoramiento de caminos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2.440.235.000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3,67%</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77</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3,47%</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5.396.171.593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7,97%</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7,52%</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Plazas activas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589.432.000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0,89%</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0,81%</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2.048.477.426</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3,03%</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3,14%</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Plazas y juegos infantiles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5.306.791.000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7,99%</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8,11%</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5.508.102.793</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8,14%</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8,96%</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Recuperación borde costero</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142.892.000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0,22%</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0,18%</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111.155.000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0,16%</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0,20%</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Recuperación de espacios públicos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6.563.517.178</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9,88%</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249</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11,22%</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3.299.421.894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4,88%</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129</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6,42%</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Refugios peatonales y terminal de buses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943.369.000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1,42%</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1,53%</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292.847.944</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0,43%</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0,55%</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Reparación de cementerios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862.447.000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1,30%</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1,35%</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418.499.000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0,62%</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0,75%</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Sedes comunitarias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4.456.396.000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6,71%</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168</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7,57%</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5.862.469.480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8,66%</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159</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7,92%</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Señaléticas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317.268.000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0,48%</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0,77%</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80.996.000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0,12%</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0,35%</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xml:space="preserve">Sistema de energía eléctrica, renovables y alumbrado público </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2.141.424.000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3,22%</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68</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3,06%</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1.859.714.072</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2,75%</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2,99%</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Teatros, centros culturales y bibliotecas</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360.143.000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0,54%</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0,41%</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410.191.245</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0,61%</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0,50%</w:t>
            </w:r>
          </w:p>
        </w:tc>
      </w:tr>
      <w:tr w:rsidR="00772F08" w:rsidRPr="00F111CA" w:rsidTr="005F1093">
        <w:trPr>
          <w:trHeight w:val="225"/>
          <w:jc w:val="center"/>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TOTAL</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66.427.771.178</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2.220</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c>
          <w:tcPr>
            <w:tcW w:w="1161"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67.666.629.087</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c>
          <w:tcPr>
            <w:tcW w:w="508"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2.008</w:t>
            </w:r>
          </w:p>
        </w:tc>
        <w:tc>
          <w:tcPr>
            <w:tcW w:w="704" w:type="dxa"/>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r>
    </w:tbl>
    <w:p w:rsidR="00296662" w:rsidRPr="00F111CA" w:rsidRDefault="00296662" w:rsidP="005F1093">
      <w:pPr>
        <w:spacing w:after="120" w:line="240" w:lineRule="auto"/>
        <w:jc w:val="center"/>
        <w:rPr>
          <w:rFonts w:ascii="Garamond" w:hAnsi="Garamond"/>
        </w:rPr>
      </w:pPr>
    </w:p>
    <w:p w:rsidR="00772F08" w:rsidRPr="00F111CA" w:rsidRDefault="00772F08" w:rsidP="005F1093">
      <w:pPr>
        <w:spacing w:after="120" w:line="240" w:lineRule="auto"/>
        <w:jc w:val="center"/>
        <w:rPr>
          <w:rFonts w:ascii="Garamond" w:hAnsi="Garamond"/>
        </w:rPr>
      </w:pPr>
    </w:p>
    <w:p w:rsidR="00772F08" w:rsidRPr="00F111CA" w:rsidRDefault="00772F08" w:rsidP="005F1093">
      <w:pPr>
        <w:spacing w:after="120" w:line="240" w:lineRule="auto"/>
        <w:jc w:val="center"/>
        <w:rPr>
          <w:rFonts w:ascii="Garamond" w:hAnsi="Garamond"/>
        </w:rPr>
      </w:pPr>
    </w:p>
    <w:p w:rsidR="00772F08" w:rsidRPr="00F111CA" w:rsidRDefault="00772F08" w:rsidP="005F1093">
      <w:pPr>
        <w:spacing w:after="120" w:line="240" w:lineRule="auto"/>
        <w:jc w:val="center"/>
        <w:rPr>
          <w:rFonts w:ascii="Garamond" w:hAnsi="Garamond"/>
        </w:rPr>
      </w:pPr>
    </w:p>
    <w:p w:rsidR="00772F08" w:rsidRPr="00F111CA" w:rsidRDefault="00772F08" w:rsidP="005F1093">
      <w:pPr>
        <w:spacing w:after="120" w:line="240" w:lineRule="auto"/>
        <w:jc w:val="center"/>
        <w:rPr>
          <w:rFonts w:ascii="Garamond" w:hAnsi="Garamond"/>
        </w:rPr>
      </w:pPr>
    </w:p>
    <w:p w:rsidR="00772F08" w:rsidRPr="00F111CA" w:rsidRDefault="00772F08" w:rsidP="005F1093">
      <w:pPr>
        <w:spacing w:after="120" w:line="240" w:lineRule="auto"/>
        <w:rPr>
          <w:rFonts w:ascii="Garamond" w:hAnsi="Garamond"/>
        </w:rPr>
      </w:pPr>
      <w:r w:rsidRPr="00F111CA">
        <w:rPr>
          <w:rFonts w:ascii="Garamond" w:hAnsi="Garamond"/>
        </w:rPr>
        <w:br w:type="page"/>
      </w:r>
    </w:p>
    <w:p w:rsidR="00772F08" w:rsidRPr="00F111CA" w:rsidRDefault="00C666FC" w:rsidP="005F1093">
      <w:pPr>
        <w:spacing w:after="120" w:line="240" w:lineRule="auto"/>
        <w:jc w:val="center"/>
        <w:rPr>
          <w:rFonts w:ascii="Garamond" w:hAnsi="Garamond"/>
        </w:rPr>
      </w:pPr>
      <w:r w:rsidRPr="00F111CA">
        <w:rPr>
          <w:rFonts w:ascii="Garamond" w:hAnsi="Garamond"/>
        </w:rPr>
        <w:lastRenderedPageBreak/>
        <w:t>CONTINUACIÓN TABLA N°5</w:t>
      </w:r>
    </w:p>
    <w:tbl>
      <w:tblPr>
        <w:tblW w:w="5684" w:type="pct"/>
        <w:tblInd w:w="-639" w:type="dxa"/>
        <w:tblCellMar>
          <w:left w:w="70" w:type="dxa"/>
          <w:right w:w="70" w:type="dxa"/>
        </w:tblCellMar>
        <w:tblLook w:val="04A0" w:firstRow="1" w:lastRow="0" w:firstColumn="1" w:lastColumn="0" w:noHBand="0" w:noVBand="1"/>
      </w:tblPr>
      <w:tblGrid>
        <w:gridCol w:w="3883"/>
        <w:gridCol w:w="1090"/>
        <w:gridCol w:w="679"/>
        <w:gridCol w:w="470"/>
        <w:gridCol w:w="679"/>
        <w:gridCol w:w="1142"/>
        <w:gridCol w:w="679"/>
        <w:gridCol w:w="482"/>
        <w:gridCol w:w="932"/>
      </w:tblGrid>
      <w:tr w:rsidR="00772F08" w:rsidRPr="00F111CA" w:rsidTr="005D3CA5">
        <w:trPr>
          <w:trHeight w:val="225"/>
        </w:trPr>
        <w:tc>
          <w:tcPr>
            <w:tcW w:w="18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 </w:t>
            </w:r>
          </w:p>
        </w:tc>
        <w:tc>
          <w:tcPr>
            <w:tcW w:w="1407" w:type="pct"/>
            <w:gridSpan w:val="4"/>
            <w:tcBorders>
              <w:top w:val="single" w:sz="4" w:space="0" w:color="auto"/>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center"/>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Total 2013</w:t>
            </w:r>
          </w:p>
        </w:tc>
        <w:tc>
          <w:tcPr>
            <w:tcW w:w="1732" w:type="pct"/>
            <w:gridSpan w:val="4"/>
            <w:tcBorders>
              <w:top w:val="single" w:sz="4" w:space="0" w:color="auto"/>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center"/>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Total Trienio</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ÁREAS DE INVERSIÓN</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N°</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 N°</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N°</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 N°</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Aceras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6.151.317.175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11,27%</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11,51%</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16.908.560.733</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8,96%</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571</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9,98%</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Áreas verdes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3.479.021.445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6,37%</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109</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7,30%</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9.618.554.706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5,10%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343</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5,99%</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Construcción y mejoramiento de canchas deportivas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6.597.527.747</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12,09%</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170</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11,38%</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19.509.302.028</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10,34%</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526</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9,19%</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Consultorios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559.300.911</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1,02%</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1,07%</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2.463.440.347</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1,31%</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83</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1,45%</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Escuelas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9.250.286.233</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16,95%</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14,46%</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45.634.008.216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24,19%</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1.207</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21,09%</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Implementación de deportes alternativos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670.717.474</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1,23%</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1,07%</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2.196.801.845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1,16%</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55</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0,96%</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Infraestructura de servicios municipales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3.060.758.884</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5,61%</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80</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5,35%</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8.548.091.643</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4,53%</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274</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4,79%</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Instalaciones sanitarias y obras civiles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2.755.613.167</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5,05%</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5,09%</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8.289.918.761</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4,39%</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260</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4,54%</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Jardín infantil</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342.700.446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0,63%</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0,54%</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936.701.522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0,47%</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Pasarela peatonal y puentes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933.276.697</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1,71%</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1,54%</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4.377.580.018</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2,32%</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125</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2,18%</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Pavimentación y mejoramiento de caminos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3.022.570.067</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5,54%</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81</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5,42%</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10.858.976.660</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5,76%</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309</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5,40%</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Plazas activas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1.799.663.798</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3,30%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60</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4,02%</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4.437.573.224</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2,35%</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141</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2,46%</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Plazas y juegos infantiles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5.716.256.452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10,47%</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149</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9,97%</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16.531.150.245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8,76%</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509</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8,90%</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Recuperación borde costero</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78.310.592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0,14%</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0,13%</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332.357.592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0,18%</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0,17%</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Recuperación de espacios públicos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2.621.478.680</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4,80%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96</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6,43%</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12.484.417.752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6,62%</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474</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8,28%</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Refugios peatonales y terminal de buses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637.840.891</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1,17%</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20</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1,34%</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1.874.057.835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0,99%</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65</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1,14%</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Reparación de cementerios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1.021.271.511</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1,87%</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1,81%</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2.302.217.511</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1,22%</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72</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1,26%</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Sedes comunitarias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4.217.602.574</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7,73%</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8,17%</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14.536.468.054</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7,70%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449</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7,85%</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Señaléticas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301.805.825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0,55%</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0,60%</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700.069.825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0,37%</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33</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0,58%</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 xml:space="preserve">Sistema de energía eléctrica, renovables y alumbrado público </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1.209.782.883</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2,22%</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38</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2,54%</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5.210.920.955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2,76%</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166</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2,90%</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center"/>
            <w:hideMark/>
          </w:tcPr>
          <w:p w:rsidR="00772F08" w:rsidRPr="00F111CA" w:rsidRDefault="00772F08" w:rsidP="00772F08">
            <w:pPr>
              <w:spacing w:after="0" w:line="240" w:lineRule="auto"/>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Teatros, centros culturales y bibliotecas</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161.463.455</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0,30%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4</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0,27%</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931.797.700</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0,49%</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23</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color w:val="000000"/>
                <w:sz w:val="16"/>
                <w:szCs w:val="16"/>
                <w:lang w:eastAsia="es-CL"/>
              </w:rPr>
            </w:pPr>
            <w:r w:rsidRPr="00F111CA">
              <w:rPr>
                <w:rFonts w:ascii="Garamond" w:eastAsia="Times New Roman" w:hAnsi="Garamond" w:cs="Times New Roman"/>
                <w:color w:val="000000"/>
                <w:sz w:val="16"/>
                <w:szCs w:val="16"/>
                <w:lang w:eastAsia="es-CL"/>
              </w:rPr>
              <w:t>0,40%</w:t>
            </w:r>
          </w:p>
        </w:tc>
      </w:tr>
      <w:tr w:rsidR="00257204" w:rsidRPr="00F111CA" w:rsidTr="00257204">
        <w:trPr>
          <w:trHeight w:val="225"/>
        </w:trPr>
        <w:tc>
          <w:tcPr>
            <w:tcW w:w="1861" w:type="pct"/>
            <w:tcBorders>
              <w:top w:val="nil"/>
              <w:left w:val="single" w:sz="4" w:space="0" w:color="auto"/>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TOTAL</w:t>
            </w:r>
          </w:p>
        </w:tc>
        <w:tc>
          <w:tcPr>
            <w:tcW w:w="528"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54.588.566.907</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1.494</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c>
          <w:tcPr>
            <w:tcW w:w="56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center"/>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188.682.967.172</w:t>
            </w:r>
          </w:p>
        </w:tc>
        <w:tc>
          <w:tcPr>
            <w:tcW w:w="322"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c>
          <w:tcPr>
            <w:tcW w:w="234"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5.722</w:t>
            </w:r>
          </w:p>
        </w:tc>
        <w:tc>
          <w:tcPr>
            <w:tcW w:w="611" w:type="pct"/>
            <w:tcBorders>
              <w:top w:val="nil"/>
              <w:left w:val="nil"/>
              <w:bottom w:val="single" w:sz="4" w:space="0" w:color="auto"/>
              <w:right w:val="single" w:sz="4" w:space="0" w:color="auto"/>
            </w:tcBorders>
            <w:shd w:val="clear" w:color="auto" w:fill="auto"/>
            <w:noWrap/>
            <w:vAlign w:val="bottom"/>
            <w:hideMark/>
          </w:tcPr>
          <w:p w:rsidR="00772F08" w:rsidRPr="00F111CA" w:rsidRDefault="00772F08" w:rsidP="00772F08">
            <w:pPr>
              <w:spacing w:after="0" w:line="240" w:lineRule="auto"/>
              <w:jc w:val="right"/>
              <w:rPr>
                <w:rFonts w:ascii="Garamond" w:eastAsia="Times New Roman" w:hAnsi="Garamond" w:cs="Times New Roman"/>
                <w:b/>
                <w:bCs/>
                <w:color w:val="000000"/>
                <w:sz w:val="16"/>
                <w:szCs w:val="16"/>
                <w:lang w:eastAsia="es-CL"/>
              </w:rPr>
            </w:pPr>
            <w:r w:rsidRPr="00F111CA">
              <w:rPr>
                <w:rFonts w:ascii="Garamond" w:eastAsia="Times New Roman" w:hAnsi="Garamond" w:cs="Times New Roman"/>
                <w:b/>
                <w:bCs/>
                <w:color w:val="000000"/>
                <w:sz w:val="16"/>
                <w:szCs w:val="16"/>
                <w:lang w:eastAsia="es-CL"/>
              </w:rPr>
              <w:t>100,00%</w:t>
            </w:r>
          </w:p>
        </w:tc>
      </w:tr>
    </w:tbl>
    <w:p w:rsidR="005C0DE8" w:rsidRPr="00F111CA" w:rsidRDefault="005C0DE8" w:rsidP="004547D3">
      <w:pPr>
        <w:spacing w:after="120" w:line="240" w:lineRule="auto"/>
        <w:rPr>
          <w:rFonts w:ascii="Garamond" w:hAnsi="Garamond"/>
          <w:b/>
        </w:rPr>
      </w:pPr>
    </w:p>
    <w:p w:rsidR="00296662" w:rsidRPr="00F111CA" w:rsidRDefault="00395250" w:rsidP="004547D3">
      <w:pPr>
        <w:spacing w:after="120" w:line="240" w:lineRule="auto"/>
        <w:jc w:val="both"/>
        <w:rPr>
          <w:rFonts w:ascii="Garamond" w:hAnsi="Garamond"/>
        </w:rPr>
      </w:pPr>
      <w:r w:rsidRPr="00F111CA">
        <w:rPr>
          <w:rFonts w:ascii="Garamond" w:hAnsi="Garamond"/>
        </w:rPr>
        <w:t xml:space="preserve">La inversión efectiva </w:t>
      </w:r>
      <w:r w:rsidR="00432EC6" w:rsidRPr="00F111CA">
        <w:rPr>
          <w:rFonts w:ascii="Garamond" w:hAnsi="Garamond"/>
        </w:rPr>
        <w:t xml:space="preserve">acumulada total del PMU en el </w:t>
      </w:r>
      <w:r w:rsidR="005356B7" w:rsidRPr="00F111CA">
        <w:rPr>
          <w:rFonts w:ascii="Garamond" w:hAnsi="Garamond"/>
        </w:rPr>
        <w:t>trienio 2011-2013</w:t>
      </w:r>
      <w:r w:rsidRPr="00F111CA">
        <w:rPr>
          <w:rFonts w:ascii="Garamond" w:hAnsi="Garamond"/>
        </w:rPr>
        <w:t xml:space="preserve"> alcanza </w:t>
      </w:r>
      <w:proofErr w:type="gramStart"/>
      <w:r w:rsidRPr="00F111CA">
        <w:rPr>
          <w:rFonts w:ascii="Garamond" w:hAnsi="Garamond"/>
        </w:rPr>
        <w:t>los</w:t>
      </w:r>
      <w:proofErr w:type="gramEnd"/>
      <w:r w:rsidRPr="00F111CA">
        <w:rPr>
          <w:rFonts w:ascii="Garamond" w:hAnsi="Garamond"/>
        </w:rPr>
        <w:t xml:space="preserve"> $ </w:t>
      </w:r>
      <w:r w:rsidR="005356B7" w:rsidRPr="00F111CA">
        <w:rPr>
          <w:rFonts w:ascii="Garamond" w:hAnsi="Garamond"/>
        </w:rPr>
        <w:t xml:space="preserve">188.682.967.172. </w:t>
      </w:r>
    </w:p>
    <w:p w:rsidR="00057810" w:rsidRDefault="00057810">
      <w:pPr>
        <w:rPr>
          <w:rFonts w:ascii="Garamond" w:hAnsi="Garamond"/>
        </w:rPr>
      </w:pPr>
      <w:r>
        <w:rPr>
          <w:rFonts w:ascii="Garamond" w:hAnsi="Garamond"/>
        </w:rPr>
        <w:br w:type="page"/>
      </w:r>
    </w:p>
    <w:p w:rsidR="005C0DE8" w:rsidRPr="00F111CA" w:rsidRDefault="00C666FC" w:rsidP="004547D3">
      <w:pPr>
        <w:spacing w:after="120" w:line="240" w:lineRule="auto"/>
        <w:jc w:val="both"/>
        <w:rPr>
          <w:rFonts w:ascii="Garamond" w:hAnsi="Garamond"/>
        </w:rPr>
      </w:pPr>
      <w:r w:rsidRPr="00F111CA">
        <w:rPr>
          <w:rFonts w:ascii="Garamond" w:hAnsi="Garamond"/>
        </w:rPr>
        <w:lastRenderedPageBreak/>
        <w:t>El Gráfico N° 6</w:t>
      </w:r>
      <w:r w:rsidR="0039084B" w:rsidRPr="00F111CA">
        <w:rPr>
          <w:rFonts w:ascii="Garamond" w:hAnsi="Garamond"/>
        </w:rPr>
        <w:t xml:space="preserve"> muestra la estructura</w:t>
      </w:r>
      <w:r w:rsidR="00E23866" w:rsidRPr="00F111CA">
        <w:rPr>
          <w:rFonts w:ascii="Garamond" w:hAnsi="Garamond"/>
        </w:rPr>
        <w:t xml:space="preserve"> de </w:t>
      </w:r>
      <w:r w:rsidR="005F1093" w:rsidRPr="00F111CA">
        <w:rPr>
          <w:rFonts w:ascii="Garamond" w:hAnsi="Garamond"/>
        </w:rPr>
        <w:t>participación</w:t>
      </w:r>
      <w:r w:rsidR="00E23866" w:rsidRPr="00F111CA">
        <w:rPr>
          <w:rFonts w:ascii="Garamond" w:hAnsi="Garamond"/>
        </w:rPr>
        <w:t xml:space="preserve"> de las 21 Áreas de inversión efectiva en el total</w:t>
      </w:r>
      <w:r w:rsidR="005356B7" w:rsidRPr="00F111CA">
        <w:rPr>
          <w:rFonts w:ascii="Garamond" w:hAnsi="Garamond"/>
        </w:rPr>
        <w:t>.</w:t>
      </w:r>
    </w:p>
    <w:p w:rsidR="00E23866" w:rsidRPr="00F111CA" w:rsidRDefault="00E23866" w:rsidP="004547D3">
      <w:pPr>
        <w:spacing w:after="120" w:line="240" w:lineRule="auto"/>
        <w:rPr>
          <w:rFonts w:ascii="Garamond" w:hAnsi="Garamond"/>
        </w:rPr>
      </w:pPr>
    </w:p>
    <w:p w:rsidR="003A53CB" w:rsidRPr="00F111CA" w:rsidRDefault="003A53CB" w:rsidP="004547D3">
      <w:pPr>
        <w:spacing w:after="120" w:line="240" w:lineRule="auto"/>
        <w:jc w:val="center"/>
        <w:rPr>
          <w:rFonts w:ascii="Garamond" w:hAnsi="Garamond"/>
        </w:rPr>
      </w:pPr>
      <w:r w:rsidRPr="00F111CA">
        <w:rPr>
          <w:rFonts w:ascii="Garamond" w:hAnsi="Garamond"/>
        </w:rPr>
        <w:t xml:space="preserve">GRÁFICO N° </w:t>
      </w:r>
      <w:r w:rsidR="00C666FC" w:rsidRPr="00F111CA">
        <w:rPr>
          <w:rFonts w:ascii="Garamond" w:hAnsi="Garamond"/>
        </w:rPr>
        <w:t>6</w:t>
      </w:r>
      <w:r w:rsidRPr="00F111CA">
        <w:rPr>
          <w:rFonts w:ascii="Garamond" w:hAnsi="Garamond"/>
        </w:rPr>
        <w:t xml:space="preserve">: </w:t>
      </w:r>
      <w:r w:rsidR="00812783" w:rsidRPr="00F111CA">
        <w:rPr>
          <w:rFonts w:ascii="Garamond" w:hAnsi="Garamond"/>
        </w:rPr>
        <w:t>ESTRUCTURA DE LA INVERSIÓN</w:t>
      </w:r>
      <w:r w:rsidR="000B2F48" w:rsidRPr="00F111CA">
        <w:rPr>
          <w:rFonts w:ascii="Garamond" w:hAnsi="Garamond"/>
        </w:rPr>
        <w:t xml:space="preserve"> EFECTIVA</w:t>
      </w:r>
      <w:r w:rsidR="00812783" w:rsidRPr="00F111CA">
        <w:rPr>
          <w:rFonts w:ascii="Garamond" w:hAnsi="Garamond"/>
        </w:rPr>
        <w:t xml:space="preserve"> POR ÁREA, AÑOS </w:t>
      </w:r>
      <w:r w:rsidR="002114C5" w:rsidRPr="00F111CA">
        <w:rPr>
          <w:rFonts w:ascii="Garamond" w:hAnsi="Garamond"/>
        </w:rPr>
        <w:t>2011-2013 Y TRIENIO</w:t>
      </w:r>
    </w:p>
    <w:p w:rsidR="00580C8D" w:rsidRPr="00F111CA" w:rsidRDefault="0098640B" w:rsidP="004547D3">
      <w:pPr>
        <w:spacing w:after="120" w:line="240" w:lineRule="auto"/>
        <w:jc w:val="center"/>
        <w:rPr>
          <w:rFonts w:ascii="Garamond" w:hAnsi="Garamond"/>
          <w:b/>
        </w:rPr>
      </w:pPr>
      <w:r w:rsidRPr="00F111CA">
        <w:rPr>
          <w:rFonts w:ascii="Garamond" w:hAnsi="Garamond"/>
          <w:noProof/>
          <w:lang w:eastAsia="es-CL"/>
        </w:rPr>
        <w:drawing>
          <wp:inline distT="0" distB="0" distL="0" distR="0" wp14:anchorId="13BDF7C6" wp14:editId="09B3E09B">
            <wp:extent cx="5612130" cy="451485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0C8D" w:rsidRPr="00F111CA" w:rsidRDefault="00580C8D" w:rsidP="004547D3">
      <w:pPr>
        <w:spacing w:after="120" w:line="240" w:lineRule="auto"/>
        <w:rPr>
          <w:rFonts w:ascii="Garamond" w:hAnsi="Garamond"/>
          <w:b/>
        </w:rPr>
      </w:pPr>
    </w:p>
    <w:p w:rsidR="00A502CE" w:rsidRPr="00F111CA" w:rsidRDefault="00A502CE" w:rsidP="004547D3">
      <w:pPr>
        <w:spacing w:after="120" w:line="240" w:lineRule="auto"/>
        <w:jc w:val="both"/>
        <w:rPr>
          <w:rFonts w:ascii="Garamond" w:hAnsi="Garamond"/>
        </w:rPr>
      </w:pPr>
      <w:r w:rsidRPr="00F111CA">
        <w:rPr>
          <w:rFonts w:ascii="Garamond" w:hAnsi="Garamond"/>
        </w:rPr>
        <w:t>En la inversión e</w:t>
      </w:r>
      <w:r w:rsidR="00E23866" w:rsidRPr="00F111CA">
        <w:rPr>
          <w:rFonts w:ascii="Garamond" w:hAnsi="Garamond"/>
        </w:rPr>
        <w:t>fectiva, el Á</w:t>
      </w:r>
      <w:r w:rsidRPr="00F111CA">
        <w:rPr>
          <w:rFonts w:ascii="Garamond" w:hAnsi="Garamond"/>
        </w:rPr>
        <w:t xml:space="preserve">rea que tiene una mayor participación es la de Escuelas, con un 24% </w:t>
      </w:r>
      <w:r w:rsidR="005F1093" w:rsidRPr="00F111CA">
        <w:rPr>
          <w:rFonts w:ascii="Garamond" w:hAnsi="Garamond"/>
        </w:rPr>
        <w:t xml:space="preserve">de </w:t>
      </w:r>
      <w:r w:rsidRPr="00F111CA">
        <w:rPr>
          <w:rFonts w:ascii="Garamond" w:hAnsi="Garamond"/>
        </w:rPr>
        <w:t xml:space="preserve"> la cartera acumulada al trienio</w:t>
      </w:r>
      <w:r w:rsidR="00CE64FB" w:rsidRPr="00F111CA">
        <w:rPr>
          <w:rFonts w:ascii="Garamond" w:hAnsi="Garamond"/>
        </w:rPr>
        <w:t>, con un</w:t>
      </w:r>
      <w:r w:rsidR="006B5F59" w:rsidRPr="00F111CA">
        <w:rPr>
          <w:rFonts w:ascii="Garamond" w:hAnsi="Garamond"/>
        </w:rPr>
        <w:t xml:space="preserve"> mínimo de</w:t>
      </w:r>
      <w:r w:rsidR="00CE64FB" w:rsidRPr="00F111CA">
        <w:rPr>
          <w:rFonts w:ascii="Garamond" w:hAnsi="Garamond"/>
        </w:rPr>
        <w:t xml:space="preserve"> 16,9 % en 2013</w:t>
      </w:r>
      <w:r w:rsidR="002A0772">
        <w:rPr>
          <w:rFonts w:ascii="Garamond" w:hAnsi="Garamond"/>
        </w:rPr>
        <w:t xml:space="preserve"> (estos datos incluyen FIE)</w:t>
      </w:r>
      <w:r w:rsidRPr="00F111CA">
        <w:rPr>
          <w:rFonts w:ascii="Garamond" w:hAnsi="Garamond"/>
        </w:rPr>
        <w:t xml:space="preserve">. Un área que varió positivamente su participación en la cartera fue Áreas verdes. En 2011 representaba un 3,6% de las inversiones, mientras que en 2013 alcanzó un 6,4%. Por el contrario, una de las que más ha disminuido la cantidad de recursos </w:t>
      </w:r>
      <w:r w:rsidR="005F1093" w:rsidRPr="00F111CA">
        <w:rPr>
          <w:rFonts w:ascii="Garamond" w:hAnsi="Garamond"/>
        </w:rPr>
        <w:t xml:space="preserve">entregados ha sido el Área </w:t>
      </w:r>
      <w:r w:rsidRPr="00F111CA">
        <w:rPr>
          <w:rFonts w:ascii="Garamond" w:hAnsi="Garamond"/>
        </w:rPr>
        <w:t xml:space="preserve">de Recuperación de espacios Públicos, </w:t>
      </w:r>
      <w:r w:rsidR="00CE64FB" w:rsidRPr="00F111CA">
        <w:rPr>
          <w:rFonts w:ascii="Garamond" w:hAnsi="Garamond"/>
        </w:rPr>
        <w:t xml:space="preserve">que </w:t>
      </w:r>
      <w:r w:rsidRPr="00F111CA">
        <w:rPr>
          <w:rFonts w:ascii="Garamond" w:hAnsi="Garamond"/>
        </w:rPr>
        <w:t>pasa</w:t>
      </w:r>
      <w:r w:rsidR="00CE64FB" w:rsidRPr="00F111CA">
        <w:rPr>
          <w:rFonts w:ascii="Garamond" w:hAnsi="Garamond"/>
        </w:rPr>
        <w:t xml:space="preserve"> </w:t>
      </w:r>
      <w:r w:rsidRPr="00F111CA">
        <w:rPr>
          <w:rFonts w:ascii="Garamond" w:hAnsi="Garamond"/>
        </w:rPr>
        <w:t xml:space="preserve">de </w:t>
      </w:r>
      <w:r w:rsidR="005F1093" w:rsidRPr="00F111CA">
        <w:rPr>
          <w:rFonts w:ascii="Garamond" w:hAnsi="Garamond"/>
        </w:rPr>
        <w:t xml:space="preserve">representar el </w:t>
      </w:r>
      <w:r w:rsidRPr="00F111CA">
        <w:rPr>
          <w:rFonts w:ascii="Garamond" w:hAnsi="Garamond"/>
        </w:rPr>
        <w:t xml:space="preserve">9,9% en 2011, a 4,8% </w:t>
      </w:r>
      <w:r w:rsidR="005F1093" w:rsidRPr="00F111CA">
        <w:rPr>
          <w:rFonts w:ascii="Garamond" w:hAnsi="Garamond"/>
        </w:rPr>
        <w:t xml:space="preserve">de la cartera total </w:t>
      </w:r>
      <w:r w:rsidRPr="00F111CA">
        <w:rPr>
          <w:rFonts w:ascii="Garamond" w:hAnsi="Garamond"/>
        </w:rPr>
        <w:t xml:space="preserve">en 2013, acumulando 6,6% de participación en el trienio. Además de estos cambios, la tendencia es </w:t>
      </w:r>
      <w:r w:rsidR="005F1093" w:rsidRPr="00F111CA">
        <w:rPr>
          <w:rFonts w:ascii="Garamond" w:hAnsi="Garamond"/>
        </w:rPr>
        <w:t xml:space="preserve"> </w:t>
      </w:r>
      <w:r w:rsidRPr="00F111CA">
        <w:rPr>
          <w:rFonts w:ascii="Garamond" w:hAnsi="Garamond"/>
        </w:rPr>
        <w:t>que se mantengan las proporciones de la inversión entre las diversas áreas durante el trienio analizado.</w:t>
      </w:r>
    </w:p>
    <w:p w:rsidR="00A502CE" w:rsidRPr="00F111CA" w:rsidRDefault="00A502CE" w:rsidP="004547D3">
      <w:pPr>
        <w:spacing w:after="120" w:line="240" w:lineRule="auto"/>
        <w:jc w:val="both"/>
        <w:rPr>
          <w:rFonts w:ascii="Garamond" w:hAnsi="Garamond"/>
        </w:rPr>
      </w:pPr>
    </w:p>
    <w:p w:rsidR="00057810" w:rsidRDefault="00057810">
      <w:pPr>
        <w:rPr>
          <w:rFonts w:ascii="Garamond" w:hAnsi="Garamond"/>
          <w:b/>
        </w:rPr>
      </w:pPr>
      <w:r>
        <w:rPr>
          <w:rFonts w:ascii="Garamond" w:hAnsi="Garamond"/>
          <w:b/>
        </w:rPr>
        <w:br w:type="page"/>
      </w:r>
    </w:p>
    <w:p w:rsidR="00DE109A" w:rsidRPr="00F111CA" w:rsidRDefault="00DE109A" w:rsidP="004547D3">
      <w:pPr>
        <w:pStyle w:val="Prrafodelista"/>
        <w:numPr>
          <w:ilvl w:val="0"/>
          <w:numId w:val="20"/>
        </w:numPr>
        <w:spacing w:after="120" w:line="240" w:lineRule="auto"/>
        <w:contextualSpacing w:val="0"/>
        <w:rPr>
          <w:rFonts w:ascii="Garamond" w:hAnsi="Garamond"/>
          <w:b/>
        </w:rPr>
      </w:pPr>
      <w:r w:rsidRPr="00F111CA">
        <w:rPr>
          <w:rFonts w:ascii="Garamond" w:hAnsi="Garamond"/>
          <w:b/>
        </w:rPr>
        <w:lastRenderedPageBreak/>
        <w:t>INVERSIÓN EFECTIVA EN LÍNEAS MODULARES DEL PROGRAMA</w:t>
      </w:r>
    </w:p>
    <w:p w:rsidR="0069137F" w:rsidRPr="00F111CA" w:rsidRDefault="00437B3F" w:rsidP="004547D3">
      <w:pPr>
        <w:spacing w:after="120" w:line="240" w:lineRule="auto"/>
        <w:jc w:val="both"/>
        <w:rPr>
          <w:rFonts w:ascii="Garamond" w:hAnsi="Garamond"/>
        </w:rPr>
      </w:pPr>
      <w:r w:rsidRPr="00F111CA">
        <w:rPr>
          <w:rFonts w:ascii="Garamond" w:hAnsi="Garamond"/>
        </w:rPr>
        <w:t>A continuación, se muestra la inv</w:t>
      </w:r>
      <w:r w:rsidR="0069137F" w:rsidRPr="00F111CA">
        <w:rPr>
          <w:rFonts w:ascii="Garamond" w:hAnsi="Garamond"/>
        </w:rPr>
        <w:t>ersión efectiva 2011-2013 en tres L</w:t>
      </w:r>
      <w:r w:rsidRPr="00F111CA">
        <w:rPr>
          <w:rFonts w:ascii="Garamond" w:hAnsi="Garamond"/>
        </w:rPr>
        <w:t xml:space="preserve">íneas </w:t>
      </w:r>
      <w:r w:rsidR="0069137F" w:rsidRPr="00F111CA">
        <w:rPr>
          <w:rFonts w:ascii="Garamond" w:hAnsi="Garamond"/>
        </w:rPr>
        <w:t>M</w:t>
      </w:r>
      <w:r w:rsidRPr="00F111CA">
        <w:rPr>
          <w:rFonts w:ascii="Garamond" w:hAnsi="Garamond"/>
        </w:rPr>
        <w:t xml:space="preserve">odulares </w:t>
      </w:r>
      <w:r w:rsidR="0069137F" w:rsidRPr="00F111CA">
        <w:rPr>
          <w:rFonts w:ascii="Garamond" w:hAnsi="Garamond"/>
        </w:rPr>
        <w:t xml:space="preserve">de las cuatro </w:t>
      </w:r>
      <w:r w:rsidRPr="00F111CA">
        <w:rPr>
          <w:rFonts w:ascii="Garamond" w:hAnsi="Garamond"/>
        </w:rPr>
        <w:t xml:space="preserve">que el Gobierno formuló el año 2011. </w:t>
      </w:r>
      <w:r w:rsidR="0069137F" w:rsidRPr="00F111CA">
        <w:rPr>
          <w:rFonts w:ascii="Garamond" w:hAnsi="Garamond"/>
        </w:rPr>
        <w:t>Para este análisis (inversión efectiva), no se pudo “parear” la Línea Modular Espacio Activo, dado que no hay ninguna de las 21 tipologías (Áreas de Inversión) en la base de datos utilizada, que se le pueda asimilar.</w:t>
      </w:r>
    </w:p>
    <w:p w:rsidR="00437B3F" w:rsidRPr="00F111CA" w:rsidRDefault="00437B3F" w:rsidP="004547D3">
      <w:pPr>
        <w:spacing w:after="120" w:line="240" w:lineRule="auto"/>
        <w:jc w:val="both"/>
        <w:rPr>
          <w:rFonts w:ascii="Garamond" w:hAnsi="Garamond"/>
        </w:rPr>
      </w:pPr>
      <w:r w:rsidRPr="00F111CA">
        <w:rPr>
          <w:rFonts w:ascii="Garamond" w:hAnsi="Garamond"/>
        </w:rPr>
        <w:t xml:space="preserve">El detalle por montos y por número de proyectos se </w:t>
      </w:r>
      <w:r w:rsidR="0069137F" w:rsidRPr="00F111CA">
        <w:rPr>
          <w:rFonts w:ascii="Garamond" w:hAnsi="Garamond"/>
        </w:rPr>
        <w:t xml:space="preserve">muestra en la Tabla N° </w:t>
      </w:r>
      <w:r w:rsidR="00C666FC" w:rsidRPr="00F111CA">
        <w:rPr>
          <w:rFonts w:ascii="Garamond" w:hAnsi="Garamond"/>
        </w:rPr>
        <w:t>6</w:t>
      </w:r>
      <w:r w:rsidR="0069137F" w:rsidRPr="00F111CA">
        <w:rPr>
          <w:rFonts w:ascii="Garamond" w:hAnsi="Garamond"/>
        </w:rPr>
        <w:t xml:space="preserve"> y los gráficos N° </w:t>
      </w:r>
      <w:r w:rsidR="00C666FC" w:rsidRPr="00F111CA">
        <w:rPr>
          <w:rFonts w:ascii="Garamond" w:hAnsi="Garamond"/>
        </w:rPr>
        <w:t>7</w:t>
      </w:r>
      <w:r w:rsidR="0069137F" w:rsidRPr="00F111CA">
        <w:rPr>
          <w:rFonts w:ascii="Garamond" w:hAnsi="Garamond"/>
        </w:rPr>
        <w:t xml:space="preserve"> y N° </w:t>
      </w:r>
      <w:r w:rsidR="00C666FC" w:rsidRPr="00F111CA">
        <w:rPr>
          <w:rFonts w:ascii="Garamond" w:hAnsi="Garamond"/>
        </w:rPr>
        <w:t>8</w:t>
      </w:r>
      <w:r w:rsidR="0069137F" w:rsidRPr="00F111CA">
        <w:rPr>
          <w:rFonts w:ascii="Garamond" w:hAnsi="Garamond"/>
        </w:rPr>
        <w:t>.</w:t>
      </w:r>
    </w:p>
    <w:p w:rsidR="005F1093" w:rsidRPr="00F111CA" w:rsidRDefault="005F1093" w:rsidP="004547D3">
      <w:pPr>
        <w:spacing w:after="120" w:line="240" w:lineRule="auto"/>
        <w:rPr>
          <w:rFonts w:ascii="Garamond" w:hAnsi="Garamond"/>
        </w:rPr>
      </w:pPr>
    </w:p>
    <w:p w:rsidR="00437B3F" w:rsidRPr="00F111CA" w:rsidRDefault="00437B3F" w:rsidP="004547D3">
      <w:pPr>
        <w:spacing w:after="120" w:line="240" w:lineRule="auto"/>
        <w:jc w:val="center"/>
        <w:rPr>
          <w:rFonts w:ascii="Garamond" w:hAnsi="Garamond"/>
        </w:rPr>
      </w:pPr>
      <w:r w:rsidRPr="00F111CA">
        <w:rPr>
          <w:rFonts w:ascii="Garamond" w:hAnsi="Garamond"/>
        </w:rPr>
        <w:t>TABLA N°</w:t>
      </w:r>
      <w:r w:rsidR="00C666FC" w:rsidRPr="00F111CA">
        <w:rPr>
          <w:rFonts w:ascii="Garamond" w:hAnsi="Garamond"/>
        </w:rPr>
        <w:t xml:space="preserve"> 6</w:t>
      </w:r>
      <w:r w:rsidRPr="00F111CA">
        <w:rPr>
          <w:rFonts w:ascii="Garamond" w:hAnsi="Garamond"/>
        </w:rPr>
        <w:t>: INVERSIÓN EFECTIVA EN 3 LÍNEAS MODULARES DEL PMU, 2011-2013 Y ACUMULADO</w:t>
      </w:r>
    </w:p>
    <w:tbl>
      <w:tblPr>
        <w:tblW w:w="9452" w:type="dxa"/>
        <w:tblInd w:w="55" w:type="dxa"/>
        <w:tblCellMar>
          <w:left w:w="70" w:type="dxa"/>
          <w:right w:w="70" w:type="dxa"/>
        </w:tblCellMar>
        <w:tblLook w:val="04A0" w:firstRow="1" w:lastRow="0" w:firstColumn="1" w:lastColumn="0" w:noHBand="0" w:noVBand="1"/>
      </w:tblPr>
      <w:tblGrid>
        <w:gridCol w:w="1260"/>
        <w:gridCol w:w="2600"/>
        <w:gridCol w:w="1200"/>
        <w:gridCol w:w="1432"/>
        <w:gridCol w:w="1540"/>
        <w:gridCol w:w="1420"/>
      </w:tblGrid>
      <w:tr w:rsidR="004F4416" w:rsidRPr="00F111CA" w:rsidTr="00057810">
        <w:tc>
          <w:tcPr>
            <w:tcW w:w="1260" w:type="dxa"/>
            <w:tcBorders>
              <w:top w:val="nil"/>
              <w:left w:val="nil"/>
              <w:bottom w:val="nil"/>
              <w:right w:val="nil"/>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p>
        </w:tc>
        <w:tc>
          <w:tcPr>
            <w:tcW w:w="2600" w:type="dxa"/>
            <w:tcBorders>
              <w:top w:val="nil"/>
              <w:left w:val="nil"/>
              <w:bottom w:val="nil"/>
              <w:right w:val="nil"/>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p>
        </w:tc>
        <w:tc>
          <w:tcPr>
            <w:tcW w:w="1200" w:type="dxa"/>
            <w:tcBorders>
              <w:top w:val="nil"/>
              <w:left w:val="nil"/>
              <w:bottom w:val="nil"/>
              <w:right w:val="nil"/>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p>
        </w:tc>
        <w:tc>
          <w:tcPr>
            <w:tcW w:w="143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Línea EVS</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Línea 100 Pasarelas</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Línea Fútbol Calle</w:t>
            </w:r>
          </w:p>
        </w:tc>
      </w:tr>
      <w:tr w:rsidR="004F4416" w:rsidRPr="00F111CA" w:rsidTr="00057810">
        <w:tc>
          <w:tcPr>
            <w:tcW w:w="1260" w:type="dxa"/>
            <w:tcBorders>
              <w:top w:val="single" w:sz="8" w:space="0" w:color="auto"/>
              <w:left w:val="single" w:sz="8" w:space="0" w:color="auto"/>
              <w:bottom w:val="nil"/>
              <w:right w:val="nil"/>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2011</w:t>
            </w:r>
          </w:p>
        </w:tc>
        <w:tc>
          <w:tcPr>
            <w:tcW w:w="2600" w:type="dxa"/>
            <w:tcBorders>
              <w:top w:val="single" w:sz="8" w:space="0" w:color="auto"/>
              <w:left w:val="single" w:sz="4" w:space="0" w:color="auto"/>
              <w:bottom w:val="nil"/>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Aprobados</w:t>
            </w:r>
          </w:p>
        </w:tc>
        <w:tc>
          <w:tcPr>
            <w:tcW w:w="1200" w:type="dxa"/>
            <w:tcBorders>
              <w:top w:val="single" w:sz="8" w:space="0" w:color="auto"/>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xml:space="preserve">N° </w:t>
            </w:r>
            <w:proofErr w:type="spellStart"/>
            <w:r w:rsidRPr="00F111CA">
              <w:rPr>
                <w:rFonts w:ascii="Garamond" w:eastAsia="Times New Roman" w:hAnsi="Garamond" w:cs="Times New Roman"/>
                <w:color w:val="000000"/>
                <w:lang w:eastAsia="es-CL"/>
              </w:rPr>
              <w:t>Proys</w:t>
            </w:r>
            <w:proofErr w:type="spellEnd"/>
          </w:p>
        </w:tc>
        <w:tc>
          <w:tcPr>
            <w:tcW w:w="1432" w:type="dxa"/>
            <w:tcBorders>
              <w:top w:val="nil"/>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1540" w:type="dxa"/>
            <w:tcBorders>
              <w:top w:val="nil"/>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1420" w:type="dxa"/>
            <w:tcBorders>
              <w:top w:val="nil"/>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r>
      <w:tr w:rsidR="004F4416" w:rsidRPr="00F111CA" w:rsidTr="00057810">
        <w:tc>
          <w:tcPr>
            <w:tcW w:w="1260" w:type="dxa"/>
            <w:tcBorders>
              <w:top w:val="nil"/>
              <w:left w:val="single" w:sz="8" w:space="0" w:color="auto"/>
              <w:bottom w:val="nil"/>
              <w:right w:val="nil"/>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Monto</w:t>
            </w:r>
          </w:p>
        </w:tc>
        <w:tc>
          <w:tcPr>
            <w:tcW w:w="1432" w:type="dxa"/>
            <w:tcBorders>
              <w:top w:val="nil"/>
              <w:left w:val="nil"/>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1540" w:type="dxa"/>
            <w:tcBorders>
              <w:top w:val="nil"/>
              <w:left w:val="nil"/>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c>
          <w:tcPr>
            <w:tcW w:w="1420" w:type="dxa"/>
            <w:tcBorders>
              <w:top w:val="nil"/>
              <w:left w:val="nil"/>
              <w:bottom w:val="single" w:sz="4" w:space="0" w:color="auto"/>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r>
      <w:tr w:rsidR="004F4416" w:rsidRPr="00F111CA" w:rsidTr="00057810">
        <w:tc>
          <w:tcPr>
            <w:tcW w:w="1260" w:type="dxa"/>
            <w:tcBorders>
              <w:top w:val="single" w:sz="4" w:space="0" w:color="auto"/>
              <w:left w:val="single" w:sz="8" w:space="0" w:color="auto"/>
              <w:bottom w:val="nil"/>
              <w:right w:val="nil"/>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2012</w:t>
            </w:r>
          </w:p>
        </w:tc>
        <w:tc>
          <w:tcPr>
            <w:tcW w:w="2600" w:type="dxa"/>
            <w:tcBorders>
              <w:top w:val="nil"/>
              <w:left w:val="single" w:sz="4" w:space="0" w:color="auto"/>
              <w:bottom w:val="nil"/>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Aprobados</w:t>
            </w:r>
          </w:p>
        </w:tc>
        <w:tc>
          <w:tcPr>
            <w:tcW w:w="1200" w:type="dxa"/>
            <w:tcBorders>
              <w:top w:val="nil"/>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xml:space="preserve">N° </w:t>
            </w:r>
            <w:proofErr w:type="spellStart"/>
            <w:r w:rsidRPr="00F111CA">
              <w:rPr>
                <w:rFonts w:ascii="Garamond" w:eastAsia="Times New Roman" w:hAnsi="Garamond" w:cs="Times New Roman"/>
                <w:color w:val="000000"/>
                <w:lang w:eastAsia="es-CL"/>
              </w:rPr>
              <w:t>Proys</w:t>
            </w:r>
            <w:proofErr w:type="spellEnd"/>
          </w:p>
        </w:tc>
        <w:tc>
          <w:tcPr>
            <w:tcW w:w="1432" w:type="dxa"/>
            <w:tcBorders>
              <w:top w:val="nil"/>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7</w:t>
            </w:r>
          </w:p>
        </w:tc>
        <w:tc>
          <w:tcPr>
            <w:tcW w:w="1540" w:type="dxa"/>
            <w:tcBorders>
              <w:top w:val="nil"/>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48</w:t>
            </w:r>
          </w:p>
        </w:tc>
        <w:tc>
          <w:tcPr>
            <w:tcW w:w="1420" w:type="dxa"/>
            <w:tcBorders>
              <w:top w:val="nil"/>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r>
      <w:tr w:rsidR="004F4416" w:rsidRPr="00F111CA" w:rsidTr="00057810">
        <w:tc>
          <w:tcPr>
            <w:tcW w:w="1260" w:type="dxa"/>
            <w:tcBorders>
              <w:top w:val="nil"/>
              <w:left w:val="single" w:sz="8" w:space="0" w:color="auto"/>
              <w:bottom w:val="nil"/>
              <w:right w:val="nil"/>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Monto</w:t>
            </w:r>
          </w:p>
        </w:tc>
        <w:tc>
          <w:tcPr>
            <w:tcW w:w="1432" w:type="dxa"/>
            <w:tcBorders>
              <w:top w:val="nil"/>
              <w:left w:val="nil"/>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220.436.600</w:t>
            </w:r>
          </w:p>
        </w:tc>
        <w:tc>
          <w:tcPr>
            <w:tcW w:w="1540" w:type="dxa"/>
            <w:tcBorders>
              <w:top w:val="nil"/>
              <w:left w:val="nil"/>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1.655.324.558</w:t>
            </w:r>
          </w:p>
        </w:tc>
        <w:tc>
          <w:tcPr>
            <w:tcW w:w="1420" w:type="dxa"/>
            <w:tcBorders>
              <w:top w:val="nil"/>
              <w:left w:val="nil"/>
              <w:bottom w:val="single" w:sz="4" w:space="0" w:color="auto"/>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0</w:t>
            </w:r>
          </w:p>
        </w:tc>
      </w:tr>
      <w:tr w:rsidR="004F4416" w:rsidRPr="00F111CA" w:rsidTr="00057810">
        <w:tc>
          <w:tcPr>
            <w:tcW w:w="1260" w:type="dxa"/>
            <w:tcBorders>
              <w:top w:val="single" w:sz="4" w:space="0" w:color="auto"/>
              <w:left w:val="single" w:sz="8" w:space="0" w:color="auto"/>
              <w:bottom w:val="nil"/>
              <w:right w:val="nil"/>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2013</w:t>
            </w:r>
          </w:p>
        </w:tc>
        <w:tc>
          <w:tcPr>
            <w:tcW w:w="2600" w:type="dxa"/>
            <w:tcBorders>
              <w:top w:val="nil"/>
              <w:left w:val="single" w:sz="4" w:space="0" w:color="auto"/>
              <w:bottom w:val="nil"/>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Aprobados</w:t>
            </w:r>
          </w:p>
        </w:tc>
        <w:tc>
          <w:tcPr>
            <w:tcW w:w="1200" w:type="dxa"/>
            <w:tcBorders>
              <w:top w:val="nil"/>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xml:space="preserve">N° </w:t>
            </w:r>
            <w:proofErr w:type="spellStart"/>
            <w:r w:rsidRPr="00F111CA">
              <w:rPr>
                <w:rFonts w:ascii="Garamond" w:eastAsia="Times New Roman" w:hAnsi="Garamond" w:cs="Times New Roman"/>
                <w:color w:val="000000"/>
                <w:lang w:eastAsia="es-CL"/>
              </w:rPr>
              <w:t>Proys</w:t>
            </w:r>
            <w:proofErr w:type="spellEnd"/>
          </w:p>
        </w:tc>
        <w:tc>
          <w:tcPr>
            <w:tcW w:w="1432" w:type="dxa"/>
            <w:tcBorders>
              <w:top w:val="nil"/>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35</w:t>
            </w:r>
          </w:p>
        </w:tc>
        <w:tc>
          <w:tcPr>
            <w:tcW w:w="1540" w:type="dxa"/>
            <w:tcBorders>
              <w:top w:val="nil"/>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15</w:t>
            </w:r>
          </w:p>
        </w:tc>
        <w:tc>
          <w:tcPr>
            <w:tcW w:w="1420" w:type="dxa"/>
            <w:tcBorders>
              <w:top w:val="nil"/>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7</w:t>
            </w:r>
          </w:p>
        </w:tc>
      </w:tr>
      <w:tr w:rsidR="004F4416" w:rsidRPr="00F111CA" w:rsidTr="00057810">
        <w:tc>
          <w:tcPr>
            <w:tcW w:w="1260" w:type="dxa"/>
            <w:tcBorders>
              <w:top w:val="nil"/>
              <w:left w:val="single" w:sz="8" w:space="0" w:color="auto"/>
              <w:bottom w:val="nil"/>
              <w:right w:val="nil"/>
            </w:tcBorders>
            <w:shd w:val="clear" w:color="auto" w:fill="auto"/>
            <w:noWrap/>
            <w:vAlign w:val="bottom"/>
            <w:hideMark/>
          </w:tcPr>
          <w:p w:rsidR="004F4416" w:rsidRPr="00F111CA" w:rsidRDefault="004F4416" w:rsidP="00057810">
            <w:pPr>
              <w:spacing w:after="0" w:line="240" w:lineRule="auto"/>
              <w:jc w:val="center"/>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 </w:t>
            </w:r>
          </w:p>
        </w:tc>
        <w:tc>
          <w:tcPr>
            <w:tcW w:w="1200" w:type="dxa"/>
            <w:tcBorders>
              <w:top w:val="nil"/>
              <w:left w:val="nil"/>
              <w:bottom w:val="single" w:sz="4" w:space="0" w:color="auto"/>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Monto</w:t>
            </w:r>
          </w:p>
        </w:tc>
        <w:tc>
          <w:tcPr>
            <w:tcW w:w="1432" w:type="dxa"/>
            <w:tcBorders>
              <w:top w:val="nil"/>
              <w:left w:val="nil"/>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1.170.985.164</w:t>
            </w:r>
          </w:p>
        </w:tc>
        <w:tc>
          <w:tcPr>
            <w:tcW w:w="1540" w:type="dxa"/>
            <w:tcBorders>
              <w:top w:val="nil"/>
              <w:left w:val="nil"/>
              <w:bottom w:val="single" w:sz="4"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640.198.227</w:t>
            </w:r>
          </w:p>
        </w:tc>
        <w:tc>
          <w:tcPr>
            <w:tcW w:w="1420" w:type="dxa"/>
            <w:tcBorders>
              <w:top w:val="nil"/>
              <w:left w:val="nil"/>
              <w:bottom w:val="single" w:sz="4" w:space="0" w:color="auto"/>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color w:val="000000"/>
                <w:lang w:eastAsia="es-CL"/>
              </w:rPr>
            </w:pPr>
            <w:r w:rsidRPr="00F111CA">
              <w:rPr>
                <w:rFonts w:ascii="Garamond" w:eastAsia="Times New Roman" w:hAnsi="Garamond" w:cs="Times New Roman"/>
                <w:color w:val="000000"/>
                <w:lang w:eastAsia="es-CL"/>
              </w:rPr>
              <w:t>289.407.877</w:t>
            </w:r>
          </w:p>
        </w:tc>
      </w:tr>
      <w:tr w:rsidR="004F4416" w:rsidRPr="00F111CA" w:rsidTr="00057810">
        <w:tc>
          <w:tcPr>
            <w:tcW w:w="1260" w:type="dxa"/>
            <w:tcBorders>
              <w:top w:val="single" w:sz="8" w:space="0" w:color="auto"/>
              <w:left w:val="single" w:sz="8" w:space="0" w:color="auto"/>
              <w:bottom w:val="nil"/>
              <w:right w:val="nil"/>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TRIENIO</w:t>
            </w:r>
          </w:p>
        </w:tc>
        <w:tc>
          <w:tcPr>
            <w:tcW w:w="2600" w:type="dxa"/>
            <w:tcBorders>
              <w:top w:val="single" w:sz="8" w:space="0" w:color="auto"/>
              <w:left w:val="single" w:sz="4" w:space="0" w:color="auto"/>
              <w:bottom w:val="nil"/>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Aprobados</w:t>
            </w:r>
          </w:p>
        </w:tc>
        <w:tc>
          <w:tcPr>
            <w:tcW w:w="1200" w:type="dxa"/>
            <w:tcBorders>
              <w:top w:val="single" w:sz="8" w:space="0" w:color="auto"/>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xml:space="preserve">N° </w:t>
            </w:r>
            <w:proofErr w:type="spellStart"/>
            <w:r w:rsidRPr="00F111CA">
              <w:rPr>
                <w:rFonts w:ascii="Garamond" w:eastAsia="Times New Roman" w:hAnsi="Garamond" w:cs="Times New Roman"/>
                <w:b/>
                <w:bCs/>
                <w:color w:val="000000"/>
                <w:lang w:eastAsia="es-CL"/>
              </w:rPr>
              <w:t>Proys</w:t>
            </w:r>
            <w:proofErr w:type="spellEnd"/>
          </w:p>
        </w:tc>
        <w:tc>
          <w:tcPr>
            <w:tcW w:w="1432" w:type="dxa"/>
            <w:tcBorders>
              <w:top w:val="single" w:sz="8" w:space="0" w:color="auto"/>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42</w:t>
            </w:r>
          </w:p>
        </w:tc>
        <w:tc>
          <w:tcPr>
            <w:tcW w:w="1540" w:type="dxa"/>
            <w:tcBorders>
              <w:top w:val="single" w:sz="8" w:space="0" w:color="auto"/>
              <w:left w:val="nil"/>
              <w:bottom w:val="nil"/>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63</w:t>
            </w:r>
          </w:p>
        </w:tc>
        <w:tc>
          <w:tcPr>
            <w:tcW w:w="1420" w:type="dxa"/>
            <w:tcBorders>
              <w:top w:val="single" w:sz="8" w:space="0" w:color="auto"/>
              <w:left w:val="nil"/>
              <w:bottom w:val="nil"/>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7</w:t>
            </w:r>
          </w:p>
        </w:tc>
      </w:tr>
      <w:tr w:rsidR="004F4416" w:rsidRPr="00F111CA" w:rsidTr="00057810">
        <w:tc>
          <w:tcPr>
            <w:tcW w:w="1260" w:type="dxa"/>
            <w:tcBorders>
              <w:top w:val="nil"/>
              <w:left w:val="single" w:sz="8" w:space="0" w:color="auto"/>
              <w:bottom w:val="single" w:sz="8" w:space="0" w:color="auto"/>
              <w:right w:val="nil"/>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2600" w:type="dxa"/>
            <w:tcBorders>
              <w:top w:val="nil"/>
              <w:left w:val="single" w:sz="4" w:space="0" w:color="auto"/>
              <w:bottom w:val="single" w:sz="8" w:space="0" w:color="auto"/>
              <w:right w:val="single" w:sz="4"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 </w:t>
            </w:r>
          </w:p>
        </w:tc>
        <w:tc>
          <w:tcPr>
            <w:tcW w:w="1200" w:type="dxa"/>
            <w:tcBorders>
              <w:top w:val="nil"/>
              <w:left w:val="nil"/>
              <w:bottom w:val="single" w:sz="8" w:space="0" w:color="auto"/>
              <w:right w:val="single" w:sz="8" w:space="0" w:color="auto"/>
            </w:tcBorders>
            <w:shd w:val="clear" w:color="auto" w:fill="auto"/>
            <w:noWrap/>
            <w:vAlign w:val="bottom"/>
            <w:hideMark/>
          </w:tcPr>
          <w:p w:rsidR="004F4416" w:rsidRPr="00F111CA" w:rsidRDefault="004F4416" w:rsidP="00057810">
            <w:pPr>
              <w:spacing w:after="0" w:line="240" w:lineRule="auto"/>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Monto</w:t>
            </w:r>
          </w:p>
        </w:tc>
        <w:tc>
          <w:tcPr>
            <w:tcW w:w="1432" w:type="dxa"/>
            <w:tcBorders>
              <w:top w:val="nil"/>
              <w:left w:val="nil"/>
              <w:bottom w:val="single" w:sz="8"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1.391.421.764</w:t>
            </w:r>
          </w:p>
        </w:tc>
        <w:tc>
          <w:tcPr>
            <w:tcW w:w="1540" w:type="dxa"/>
            <w:tcBorders>
              <w:top w:val="nil"/>
              <w:left w:val="nil"/>
              <w:bottom w:val="single" w:sz="8" w:space="0" w:color="auto"/>
              <w:right w:val="single" w:sz="4"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2.295.522.785</w:t>
            </w:r>
          </w:p>
        </w:tc>
        <w:tc>
          <w:tcPr>
            <w:tcW w:w="1420" w:type="dxa"/>
            <w:tcBorders>
              <w:top w:val="nil"/>
              <w:left w:val="nil"/>
              <w:bottom w:val="single" w:sz="8" w:space="0" w:color="auto"/>
              <w:right w:val="single" w:sz="8" w:space="0" w:color="auto"/>
            </w:tcBorders>
            <w:shd w:val="clear" w:color="auto" w:fill="auto"/>
            <w:noWrap/>
            <w:vAlign w:val="bottom"/>
            <w:hideMark/>
          </w:tcPr>
          <w:p w:rsidR="004F4416" w:rsidRPr="00F111CA" w:rsidRDefault="004F4416" w:rsidP="00057810">
            <w:pPr>
              <w:spacing w:after="0" w:line="240" w:lineRule="auto"/>
              <w:jc w:val="right"/>
              <w:rPr>
                <w:rFonts w:ascii="Garamond" w:eastAsia="Times New Roman" w:hAnsi="Garamond" w:cs="Times New Roman"/>
                <w:b/>
                <w:bCs/>
                <w:color w:val="000000"/>
                <w:lang w:eastAsia="es-CL"/>
              </w:rPr>
            </w:pPr>
            <w:r w:rsidRPr="00F111CA">
              <w:rPr>
                <w:rFonts w:ascii="Garamond" w:eastAsia="Times New Roman" w:hAnsi="Garamond" w:cs="Times New Roman"/>
                <w:b/>
                <w:bCs/>
                <w:color w:val="000000"/>
                <w:lang w:eastAsia="es-CL"/>
              </w:rPr>
              <w:t>289.407.877</w:t>
            </w:r>
          </w:p>
        </w:tc>
      </w:tr>
    </w:tbl>
    <w:p w:rsidR="00057810" w:rsidRDefault="00057810">
      <w:pPr>
        <w:rPr>
          <w:rFonts w:ascii="Garamond" w:hAnsi="Garamond"/>
        </w:rPr>
      </w:pPr>
    </w:p>
    <w:p w:rsidR="00437B3F" w:rsidRPr="00F111CA" w:rsidRDefault="00C666FC" w:rsidP="004547D3">
      <w:pPr>
        <w:spacing w:after="120" w:line="240" w:lineRule="auto"/>
        <w:jc w:val="center"/>
        <w:rPr>
          <w:rFonts w:ascii="Garamond" w:hAnsi="Garamond"/>
        </w:rPr>
      </w:pPr>
      <w:r w:rsidRPr="00F111CA">
        <w:rPr>
          <w:rFonts w:ascii="Garamond" w:hAnsi="Garamond"/>
        </w:rPr>
        <w:t>GRÁFICO N° 7</w:t>
      </w:r>
      <w:r w:rsidR="00437B3F" w:rsidRPr="00F111CA">
        <w:rPr>
          <w:rFonts w:ascii="Garamond" w:hAnsi="Garamond"/>
        </w:rPr>
        <w:t>: INVERSIÓN EFECTIVA EN 3 LÍNEAS MODULARES DEL PMU, 2011 – 2013 Y TRIENIO, COMO MONTO DE RECURSOS</w:t>
      </w:r>
    </w:p>
    <w:p w:rsidR="0073599C" w:rsidRPr="00F111CA" w:rsidRDefault="004F4416" w:rsidP="004547D3">
      <w:pPr>
        <w:spacing w:after="120" w:line="240" w:lineRule="auto"/>
        <w:jc w:val="center"/>
        <w:rPr>
          <w:rFonts w:ascii="Garamond" w:hAnsi="Garamond"/>
        </w:rPr>
      </w:pPr>
      <w:r w:rsidRPr="00F111CA">
        <w:rPr>
          <w:rFonts w:ascii="Garamond" w:hAnsi="Garamond"/>
          <w:noProof/>
          <w:lang w:eastAsia="es-CL"/>
        </w:rPr>
        <w:drawing>
          <wp:inline distT="0" distB="0" distL="0" distR="0" wp14:anchorId="68BEB8DE" wp14:editId="77C70CD0">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1C6C" w:rsidRPr="00F111CA" w:rsidRDefault="00F01C6C" w:rsidP="004547D3">
      <w:pPr>
        <w:pStyle w:val="Prrafodelista"/>
        <w:spacing w:after="120" w:line="240" w:lineRule="auto"/>
        <w:contextualSpacing w:val="0"/>
        <w:jc w:val="both"/>
        <w:rPr>
          <w:rFonts w:ascii="Garamond" w:hAnsi="Garamond"/>
          <w:b/>
        </w:rPr>
      </w:pPr>
    </w:p>
    <w:p w:rsidR="00CA71CF" w:rsidRPr="00F111CA" w:rsidRDefault="00CA71CF" w:rsidP="004547D3">
      <w:pPr>
        <w:spacing w:after="120" w:line="240" w:lineRule="auto"/>
        <w:rPr>
          <w:rFonts w:ascii="Garamond" w:hAnsi="Garamond"/>
        </w:rPr>
      </w:pPr>
      <w:r w:rsidRPr="00F111CA">
        <w:rPr>
          <w:rFonts w:ascii="Garamond" w:hAnsi="Garamond"/>
        </w:rPr>
        <w:br w:type="page"/>
      </w:r>
    </w:p>
    <w:p w:rsidR="00437B3F" w:rsidRPr="00F111CA" w:rsidRDefault="00437B3F" w:rsidP="004547D3">
      <w:pPr>
        <w:spacing w:after="120" w:line="240" w:lineRule="auto"/>
        <w:jc w:val="center"/>
        <w:rPr>
          <w:rFonts w:ascii="Garamond" w:hAnsi="Garamond"/>
        </w:rPr>
      </w:pPr>
      <w:r w:rsidRPr="00F111CA">
        <w:rPr>
          <w:rFonts w:ascii="Garamond" w:hAnsi="Garamond"/>
        </w:rPr>
        <w:lastRenderedPageBreak/>
        <w:t>GRÁFICO N°</w:t>
      </w:r>
      <w:r w:rsidR="00C666FC" w:rsidRPr="00F111CA">
        <w:rPr>
          <w:rFonts w:ascii="Garamond" w:hAnsi="Garamond"/>
        </w:rPr>
        <w:t xml:space="preserve"> 8</w:t>
      </w:r>
      <w:r w:rsidRPr="00F111CA">
        <w:rPr>
          <w:rFonts w:ascii="Garamond" w:hAnsi="Garamond"/>
        </w:rPr>
        <w:t>: INVERSIÓN EFECTIVA EN 3</w:t>
      </w:r>
      <w:r w:rsidR="00B11289">
        <w:rPr>
          <w:rFonts w:ascii="Garamond" w:hAnsi="Garamond"/>
        </w:rPr>
        <w:t xml:space="preserve"> LÍNEAS MODULARES DEL PMU, 2011</w:t>
      </w:r>
      <w:r w:rsidRPr="00F111CA">
        <w:rPr>
          <w:rFonts w:ascii="Garamond" w:hAnsi="Garamond"/>
        </w:rPr>
        <w:t>–2013 Y TRIENIO, COMO NÚMERO DE PROYECTOS</w:t>
      </w:r>
      <w:r w:rsidR="00615524" w:rsidRPr="00F111CA">
        <w:rPr>
          <w:rFonts w:ascii="Garamond" w:hAnsi="Garamond"/>
        </w:rPr>
        <w:t>*</w:t>
      </w:r>
    </w:p>
    <w:p w:rsidR="0069137F" w:rsidRPr="00F111CA" w:rsidRDefault="00437B3F" w:rsidP="004547D3">
      <w:pPr>
        <w:spacing w:after="120" w:line="240" w:lineRule="auto"/>
        <w:jc w:val="center"/>
        <w:rPr>
          <w:rFonts w:ascii="Garamond" w:hAnsi="Garamond"/>
        </w:rPr>
      </w:pPr>
      <w:r w:rsidRPr="00F111CA">
        <w:rPr>
          <w:rFonts w:ascii="Garamond" w:hAnsi="Garamond"/>
          <w:noProof/>
          <w:lang w:eastAsia="es-CL"/>
        </w:rPr>
        <w:drawing>
          <wp:inline distT="0" distB="0" distL="0" distR="0" wp14:anchorId="7F3BC135" wp14:editId="32701606">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39D0" w:rsidRPr="00F111CA" w:rsidRDefault="00615524" w:rsidP="004547D3">
      <w:pPr>
        <w:tabs>
          <w:tab w:val="left" w:pos="851"/>
        </w:tabs>
        <w:spacing w:after="120" w:line="240" w:lineRule="auto"/>
        <w:ind w:left="851" w:hanging="142"/>
        <w:rPr>
          <w:rFonts w:ascii="Garamond" w:hAnsi="Garamond"/>
          <w:sz w:val="20"/>
        </w:rPr>
      </w:pPr>
      <w:r w:rsidRPr="00F111CA">
        <w:rPr>
          <w:rFonts w:ascii="Garamond" w:hAnsi="Garamond"/>
          <w:sz w:val="20"/>
        </w:rPr>
        <w:t>* Nota: No hubo inversión en 2011 pues sólo a partir de esa fecha se empezaron a preparar y postular los proyectos.</w:t>
      </w:r>
    </w:p>
    <w:p w:rsidR="00E05407" w:rsidRPr="00F111CA" w:rsidRDefault="00615524" w:rsidP="002A0772">
      <w:pPr>
        <w:spacing w:after="120" w:line="240" w:lineRule="auto"/>
        <w:jc w:val="both"/>
        <w:rPr>
          <w:rFonts w:ascii="Garamond" w:hAnsi="Garamond"/>
        </w:rPr>
      </w:pPr>
      <w:r w:rsidRPr="00F111CA">
        <w:rPr>
          <w:rFonts w:ascii="Garamond" w:hAnsi="Garamond"/>
        </w:rPr>
        <w:t>La Línea Modular que mayor financiamiento ha recibido es 100 Pasarelas con 63 proyectos y cerca de $ 2.296 millones, seguida de la Línea EVS con 42 proyectos y $ 1.391 millones.</w:t>
      </w:r>
      <w:r w:rsidR="00963893" w:rsidRPr="00F111CA">
        <w:rPr>
          <w:rFonts w:ascii="Garamond" w:hAnsi="Garamond"/>
        </w:rPr>
        <w:t xml:space="preserve"> Al final y muy por debajo se encuentra la Línea Fútbol Calle, con sólo 7 proyectos y $ 289 millones.</w:t>
      </w:r>
    </w:p>
    <w:p w:rsidR="00963893" w:rsidRPr="00F111CA" w:rsidRDefault="00963893" w:rsidP="004547D3">
      <w:pPr>
        <w:spacing w:after="120" w:line="240" w:lineRule="auto"/>
        <w:rPr>
          <w:rFonts w:ascii="Garamond" w:hAnsi="Garamond"/>
        </w:rPr>
      </w:pPr>
    </w:p>
    <w:p w:rsidR="00754A68" w:rsidRPr="00F111CA" w:rsidRDefault="00754A68" w:rsidP="004547D3">
      <w:pPr>
        <w:pStyle w:val="Prrafodelista"/>
        <w:numPr>
          <w:ilvl w:val="0"/>
          <w:numId w:val="20"/>
        </w:numPr>
        <w:spacing w:after="120" w:line="240" w:lineRule="auto"/>
        <w:contextualSpacing w:val="0"/>
        <w:rPr>
          <w:rFonts w:ascii="Garamond" w:hAnsi="Garamond"/>
          <w:b/>
        </w:rPr>
      </w:pPr>
      <w:r w:rsidRPr="00F111CA">
        <w:rPr>
          <w:rFonts w:ascii="Garamond" w:hAnsi="Garamond"/>
          <w:b/>
        </w:rPr>
        <w:t xml:space="preserve">CORRESPONDENCIA ENTRE INVERSIÓN EFECTIVA </w:t>
      </w:r>
      <w:r w:rsidR="00963893" w:rsidRPr="00F111CA">
        <w:rPr>
          <w:rFonts w:ascii="Garamond" w:hAnsi="Garamond"/>
          <w:b/>
        </w:rPr>
        <w:t>EN</w:t>
      </w:r>
      <w:r w:rsidRPr="00F111CA">
        <w:rPr>
          <w:rFonts w:ascii="Garamond" w:hAnsi="Garamond"/>
          <w:b/>
        </w:rPr>
        <w:t xml:space="preserve"> LÍNEAS </w:t>
      </w:r>
      <w:r w:rsidR="00DE109A" w:rsidRPr="00F111CA">
        <w:rPr>
          <w:rFonts w:ascii="Garamond" w:hAnsi="Garamond"/>
          <w:b/>
        </w:rPr>
        <w:t>Y</w:t>
      </w:r>
      <w:r w:rsidRPr="00F111CA">
        <w:rPr>
          <w:rFonts w:ascii="Garamond" w:hAnsi="Garamond"/>
          <w:b/>
        </w:rPr>
        <w:t xml:space="preserve"> </w:t>
      </w:r>
      <w:r w:rsidR="00963893" w:rsidRPr="00F111CA">
        <w:rPr>
          <w:rFonts w:ascii="Garamond" w:hAnsi="Garamond"/>
          <w:b/>
        </w:rPr>
        <w:t>EN</w:t>
      </w:r>
      <w:r w:rsidRPr="00F111CA">
        <w:rPr>
          <w:rFonts w:ascii="Garamond" w:hAnsi="Garamond"/>
          <w:b/>
        </w:rPr>
        <w:t xml:space="preserve"> ÁREAS DE INVERSIÓN</w:t>
      </w:r>
    </w:p>
    <w:p w:rsidR="00B84C4E" w:rsidRPr="00F111CA" w:rsidRDefault="00B84C4E" w:rsidP="004547D3">
      <w:pPr>
        <w:spacing w:after="120" w:line="240" w:lineRule="auto"/>
        <w:jc w:val="both"/>
        <w:rPr>
          <w:rFonts w:ascii="Garamond" w:hAnsi="Garamond"/>
        </w:rPr>
      </w:pPr>
      <w:r w:rsidRPr="00F111CA">
        <w:rPr>
          <w:rFonts w:ascii="Garamond" w:hAnsi="Garamond"/>
        </w:rPr>
        <w:t>Tal como hicimos para la demanda por inversión PMU, en el ejercicio siguiente examinamos si las Líneas Modulares de inversión creadas en 2011 tienen algún impacto que modifique la orientación de la inversión general del PMU a partir de esa fecha y/o si reflejan o no esa inversión en áreas de inversión temáticamente similares.</w:t>
      </w:r>
    </w:p>
    <w:p w:rsidR="00CE64FB" w:rsidRPr="00F111CA" w:rsidRDefault="00754A68" w:rsidP="004547D3">
      <w:pPr>
        <w:spacing w:after="120" w:line="240" w:lineRule="auto"/>
        <w:jc w:val="both"/>
        <w:rPr>
          <w:rFonts w:ascii="Garamond" w:hAnsi="Garamond"/>
        </w:rPr>
      </w:pPr>
      <w:r w:rsidRPr="00F111CA">
        <w:rPr>
          <w:rFonts w:ascii="Garamond" w:hAnsi="Garamond"/>
        </w:rPr>
        <w:t xml:space="preserve">La Tabla N° </w:t>
      </w:r>
      <w:r w:rsidR="00C666FC" w:rsidRPr="00F111CA">
        <w:rPr>
          <w:rFonts w:ascii="Garamond" w:hAnsi="Garamond"/>
        </w:rPr>
        <w:t>7</w:t>
      </w:r>
      <w:r w:rsidRPr="00F111CA">
        <w:rPr>
          <w:rFonts w:ascii="Garamond" w:hAnsi="Garamond"/>
        </w:rPr>
        <w:t xml:space="preserve"> </w:t>
      </w:r>
      <w:r w:rsidR="00963893" w:rsidRPr="00F111CA">
        <w:rPr>
          <w:rFonts w:ascii="Garamond" w:hAnsi="Garamond"/>
        </w:rPr>
        <w:t xml:space="preserve">permite comparar </w:t>
      </w:r>
      <w:r w:rsidRPr="00F111CA">
        <w:rPr>
          <w:rFonts w:ascii="Garamond" w:hAnsi="Garamond"/>
        </w:rPr>
        <w:t>la participación de montos y números de proyectos de las Líneas Modulares y de las Áreas de Inversión relacionadas (pares) dentro del total de la cartera de proyectos PMU financiados</w:t>
      </w:r>
      <w:r w:rsidR="00963893" w:rsidRPr="00F111CA">
        <w:rPr>
          <w:rFonts w:ascii="Garamond" w:hAnsi="Garamond"/>
        </w:rPr>
        <w:t>.</w:t>
      </w:r>
      <w:r w:rsidR="00CE64FB" w:rsidRPr="00F111CA">
        <w:rPr>
          <w:rFonts w:ascii="Garamond" w:hAnsi="Garamond"/>
        </w:rPr>
        <w:t xml:space="preserve"> </w:t>
      </w:r>
    </w:p>
    <w:p w:rsidR="00754A68" w:rsidRPr="00F111CA" w:rsidRDefault="00CE64FB" w:rsidP="004547D3">
      <w:pPr>
        <w:spacing w:after="120" w:line="240" w:lineRule="auto"/>
        <w:jc w:val="both"/>
        <w:rPr>
          <w:rFonts w:ascii="Garamond" w:hAnsi="Garamond"/>
        </w:rPr>
      </w:pPr>
      <w:r w:rsidRPr="00F111CA">
        <w:rPr>
          <w:rFonts w:ascii="Garamond" w:hAnsi="Garamond"/>
        </w:rPr>
        <w:t>A diferencia del análisis de demanda, para el análisis de inversión efectiva sí se dispuso de información desde 2011.</w:t>
      </w:r>
    </w:p>
    <w:p w:rsidR="00A502CE" w:rsidRPr="00F111CA" w:rsidRDefault="00CE64FB" w:rsidP="004547D3">
      <w:pPr>
        <w:spacing w:after="120" w:line="240" w:lineRule="auto"/>
        <w:jc w:val="both"/>
        <w:rPr>
          <w:rFonts w:ascii="Garamond" w:hAnsi="Garamond"/>
        </w:rPr>
      </w:pPr>
      <w:r w:rsidRPr="00F111CA">
        <w:rPr>
          <w:rFonts w:ascii="Garamond" w:hAnsi="Garamond"/>
        </w:rPr>
        <w:t>Dado que, como se dijo antes, la clasificación de los proyectos en tipologías es distinta de la utilizada en el caso de la demanda, e</w:t>
      </w:r>
      <w:r w:rsidR="00A502CE" w:rsidRPr="00F111CA">
        <w:rPr>
          <w:rFonts w:ascii="Garamond" w:hAnsi="Garamond"/>
        </w:rPr>
        <w:t xml:space="preserve">ntonces, para efectos de </w:t>
      </w:r>
      <w:r w:rsidRPr="00F111CA">
        <w:rPr>
          <w:rFonts w:ascii="Garamond" w:hAnsi="Garamond"/>
        </w:rPr>
        <w:t xml:space="preserve">este </w:t>
      </w:r>
      <w:r w:rsidR="00A502CE" w:rsidRPr="00F111CA">
        <w:rPr>
          <w:rFonts w:ascii="Garamond" w:hAnsi="Garamond"/>
        </w:rPr>
        <w:t xml:space="preserve">análisis, trabajaremos con los “pares” </w:t>
      </w:r>
      <w:r w:rsidRPr="00F111CA">
        <w:rPr>
          <w:rFonts w:ascii="Garamond" w:hAnsi="Garamond"/>
        </w:rPr>
        <w:t xml:space="preserve">indicados </w:t>
      </w:r>
      <w:r w:rsidR="00A502CE" w:rsidRPr="00F111CA">
        <w:rPr>
          <w:rFonts w:ascii="Garamond" w:hAnsi="Garamond"/>
        </w:rPr>
        <w:t>a continuación:</w:t>
      </w:r>
    </w:p>
    <w:p w:rsidR="00A502CE" w:rsidRPr="00F111CA" w:rsidRDefault="00A502CE" w:rsidP="004547D3">
      <w:pPr>
        <w:pStyle w:val="Prrafodelista"/>
        <w:numPr>
          <w:ilvl w:val="0"/>
          <w:numId w:val="11"/>
        </w:numPr>
        <w:spacing w:after="120" w:line="240" w:lineRule="auto"/>
        <w:contextualSpacing w:val="0"/>
        <w:jc w:val="both"/>
        <w:rPr>
          <w:rFonts w:ascii="Garamond" w:hAnsi="Garamond"/>
        </w:rPr>
      </w:pPr>
      <w:r w:rsidRPr="00F111CA">
        <w:rPr>
          <w:rFonts w:ascii="Garamond" w:hAnsi="Garamond"/>
        </w:rPr>
        <w:t>Área Plaza Activa – Línea EVS;</w:t>
      </w:r>
    </w:p>
    <w:p w:rsidR="00A502CE" w:rsidRPr="00F111CA" w:rsidRDefault="00A502CE" w:rsidP="004547D3">
      <w:pPr>
        <w:pStyle w:val="Prrafodelista"/>
        <w:numPr>
          <w:ilvl w:val="0"/>
          <w:numId w:val="11"/>
        </w:numPr>
        <w:spacing w:after="120" w:line="240" w:lineRule="auto"/>
        <w:contextualSpacing w:val="0"/>
        <w:jc w:val="both"/>
        <w:rPr>
          <w:rFonts w:ascii="Garamond" w:hAnsi="Garamond"/>
        </w:rPr>
      </w:pPr>
      <w:r w:rsidRPr="00F111CA">
        <w:rPr>
          <w:rFonts w:ascii="Garamond" w:hAnsi="Garamond"/>
        </w:rPr>
        <w:t>Área Pasarelas Peatonales – Línea 100 Pasarelas;</w:t>
      </w:r>
    </w:p>
    <w:p w:rsidR="00A502CE" w:rsidRPr="00F111CA" w:rsidRDefault="00A502CE" w:rsidP="004547D3">
      <w:pPr>
        <w:pStyle w:val="Prrafodelista"/>
        <w:numPr>
          <w:ilvl w:val="0"/>
          <w:numId w:val="11"/>
        </w:numPr>
        <w:spacing w:after="120" w:line="240" w:lineRule="auto"/>
        <w:contextualSpacing w:val="0"/>
        <w:jc w:val="both"/>
        <w:rPr>
          <w:rFonts w:ascii="Garamond" w:hAnsi="Garamond"/>
        </w:rPr>
      </w:pPr>
      <w:r w:rsidRPr="00F111CA">
        <w:rPr>
          <w:rFonts w:ascii="Garamond" w:hAnsi="Garamond"/>
        </w:rPr>
        <w:lastRenderedPageBreak/>
        <w:t>Área Infraestructura Deportiva – Línea Fútbol Calle.</w:t>
      </w:r>
    </w:p>
    <w:p w:rsidR="00057810" w:rsidRDefault="00057810" w:rsidP="00F111CA">
      <w:pPr>
        <w:spacing w:after="120" w:line="240" w:lineRule="auto"/>
        <w:rPr>
          <w:rFonts w:ascii="Garamond" w:hAnsi="Garamond"/>
        </w:rPr>
      </w:pPr>
    </w:p>
    <w:p w:rsidR="00234924" w:rsidRPr="00F111CA" w:rsidRDefault="00754A68" w:rsidP="00057810">
      <w:pPr>
        <w:spacing w:after="120" w:line="240" w:lineRule="auto"/>
        <w:jc w:val="center"/>
        <w:rPr>
          <w:rFonts w:ascii="Garamond" w:hAnsi="Garamond"/>
          <w:sz w:val="18"/>
          <w:szCs w:val="18"/>
        </w:rPr>
      </w:pPr>
      <w:r w:rsidRPr="00F111CA">
        <w:rPr>
          <w:rFonts w:ascii="Garamond" w:hAnsi="Garamond"/>
        </w:rPr>
        <w:t xml:space="preserve">TABLA N° </w:t>
      </w:r>
      <w:r w:rsidR="00C666FC" w:rsidRPr="00F111CA">
        <w:rPr>
          <w:rFonts w:ascii="Garamond" w:hAnsi="Garamond"/>
        </w:rPr>
        <w:t>7</w:t>
      </w:r>
      <w:r w:rsidRPr="00F111CA">
        <w:rPr>
          <w:rFonts w:ascii="Garamond" w:hAnsi="Garamond"/>
        </w:rPr>
        <w:t xml:space="preserve">: ESTRUCTURA DE LA INVERSIÓN EN </w:t>
      </w:r>
      <w:r w:rsidR="00DF7ADB" w:rsidRPr="00F111CA">
        <w:rPr>
          <w:rFonts w:ascii="Garamond" w:hAnsi="Garamond"/>
        </w:rPr>
        <w:t>3</w:t>
      </w:r>
      <w:r w:rsidRPr="00F111CA">
        <w:rPr>
          <w:rFonts w:ascii="Garamond" w:hAnsi="Garamond"/>
        </w:rPr>
        <w:t xml:space="preserve"> LÍNEAS MODULARES Y EN </w:t>
      </w:r>
      <w:r w:rsidR="00DF7ADB" w:rsidRPr="00F111CA">
        <w:rPr>
          <w:rFonts w:ascii="Garamond" w:hAnsi="Garamond"/>
        </w:rPr>
        <w:t>3</w:t>
      </w:r>
      <w:r w:rsidRPr="00F111CA">
        <w:rPr>
          <w:rFonts w:ascii="Garamond" w:hAnsi="Garamond"/>
        </w:rPr>
        <w:t xml:space="preserve"> ÁREAS DE INVERSIÓN RELACIONADAS, </w:t>
      </w:r>
      <w:r w:rsidR="00DF7ADB" w:rsidRPr="00F111CA">
        <w:rPr>
          <w:rFonts w:ascii="Garamond" w:hAnsi="Garamond"/>
        </w:rPr>
        <w:t>2011-2013 Y TRIENIO</w:t>
      </w:r>
    </w:p>
    <w:tbl>
      <w:tblPr>
        <w:tblW w:w="11291" w:type="dxa"/>
        <w:jc w:val="center"/>
        <w:tblLayout w:type="fixed"/>
        <w:tblCellMar>
          <w:left w:w="70" w:type="dxa"/>
          <w:right w:w="70" w:type="dxa"/>
        </w:tblCellMar>
        <w:tblLook w:val="04A0" w:firstRow="1" w:lastRow="0" w:firstColumn="1" w:lastColumn="0" w:noHBand="0" w:noVBand="1"/>
      </w:tblPr>
      <w:tblGrid>
        <w:gridCol w:w="3119"/>
        <w:gridCol w:w="1309"/>
        <w:gridCol w:w="1047"/>
        <w:gridCol w:w="727"/>
        <w:gridCol w:w="1047"/>
        <w:gridCol w:w="1276"/>
        <w:gridCol w:w="1010"/>
        <w:gridCol w:w="745"/>
        <w:gridCol w:w="1011"/>
      </w:tblGrid>
      <w:tr w:rsidR="00A502CE" w:rsidRPr="00057810" w:rsidTr="00057810">
        <w:trPr>
          <w:jc w:val="center"/>
        </w:trPr>
        <w:tc>
          <w:tcPr>
            <w:tcW w:w="31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413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F7ADB" w:rsidRPr="00057810" w:rsidRDefault="00DF7ADB" w:rsidP="00057810">
            <w:pPr>
              <w:spacing w:after="0" w:line="240" w:lineRule="auto"/>
              <w:jc w:val="center"/>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2011</w:t>
            </w:r>
          </w:p>
        </w:tc>
        <w:tc>
          <w:tcPr>
            <w:tcW w:w="404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F7ADB" w:rsidRPr="00057810" w:rsidRDefault="00DF7ADB" w:rsidP="00057810">
            <w:pPr>
              <w:spacing w:after="0" w:line="240" w:lineRule="auto"/>
              <w:jc w:val="center"/>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2012</w:t>
            </w:r>
          </w:p>
        </w:tc>
      </w:tr>
      <w:tr w:rsidR="006C6F42" w:rsidRPr="00057810" w:rsidTr="00057810">
        <w:trPr>
          <w:jc w:val="center"/>
        </w:trPr>
        <w:tc>
          <w:tcPr>
            <w:tcW w:w="3119" w:type="dxa"/>
            <w:tcBorders>
              <w:top w:val="nil"/>
              <w:left w:val="single" w:sz="8" w:space="0" w:color="auto"/>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309"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Monto ($)</w:t>
            </w:r>
          </w:p>
        </w:tc>
        <w:tc>
          <w:tcPr>
            <w:tcW w:w="1047"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PRTIC $ EN CARTERA TOTAL</w:t>
            </w:r>
          </w:p>
        </w:tc>
        <w:tc>
          <w:tcPr>
            <w:tcW w:w="727"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N° PROY</w:t>
            </w:r>
          </w:p>
        </w:tc>
        <w:tc>
          <w:tcPr>
            <w:tcW w:w="1047"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PARTIC N° EN CARTERA TOTAL</w:t>
            </w:r>
          </w:p>
        </w:tc>
        <w:tc>
          <w:tcPr>
            <w:tcW w:w="1276"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Monto ($)</w:t>
            </w:r>
          </w:p>
        </w:tc>
        <w:tc>
          <w:tcPr>
            <w:tcW w:w="1010"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PRTIC $ EN CARTERA TOTAL</w:t>
            </w:r>
          </w:p>
        </w:tc>
        <w:tc>
          <w:tcPr>
            <w:tcW w:w="745"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N° PROY</w:t>
            </w:r>
          </w:p>
        </w:tc>
        <w:tc>
          <w:tcPr>
            <w:tcW w:w="1011" w:type="dxa"/>
            <w:tcBorders>
              <w:top w:val="nil"/>
              <w:left w:val="nil"/>
              <w:bottom w:val="single" w:sz="8" w:space="0" w:color="auto"/>
              <w:right w:val="single" w:sz="8" w:space="0" w:color="auto"/>
            </w:tcBorders>
            <w:shd w:val="clear" w:color="auto" w:fill="auto"/>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PARTIC N° EN CARTERA TOTAL</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ÁREA CONSTRUCCIÓN Y MEJORAMIENTO DE CANCHAS DEPORTIVAS</w:t>
            </w:r>
          </w:p>
        </w:tc>
        <w:tc>
          <w:tcPr>
            <w:tcW w:w="13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6.183.707.000</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9,31%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183</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2C14B3"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21,01%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6.728.067.281</w:t>
            </w:r>
          </w:p>
        </w:tc>
        <w:tc>
          <w:tcPr>
            <w:tcW w:w="1010"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9,94%</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173</w:t>
            </w:r>
          </w:p>
        </w:tc>
        <w:tc>
          <w:tcPr>
            <w:tcW w:w="1011" w:type="dxa"/>
            <w:tcBorders>
              <w:top w:val="nil"/>
              <w:left w:val="nil"/>
              <w:bottom w:val="single" w:sz="8" w:space="0" w:color="auto"/>
              <w:right w:val="single" w:sz="8" w:space="0" w:color="auto"/>
            </w:tcBorders>
            <w:shd w:val="clear" w:color="auto" w:fill="auto"/>
            <w:noWrap/>
            <w:vAlign w:val="bottom"/>
            <w:hideMark/>
          </w:tcPr>
          <w:p w:rsidR="00DF7ADB" w:rsidRPr="00057810" w:rsidRDefault="00EA411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14,89</w:t>
            </w:r>
            <w:r w:rsidR="00DF7ADB" w:rsidRPr="00057810">
              <w:rPr>
                <w:rFonts w:ascii="Garamond" w:eastAsia="Times New Roman" w:hAnsi="Garamond" w:cs="Times New Roman"/>
                <w:color w:val="000000"/>
                <w:sz w:val="18"/>
                <w:szCs w:val="18"/>
                <w:lang w:eastAsia="es-CL"/>
              </w:rPr>
              <w:t>%</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000000" w:fill="FFC000"/>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Línea Fútbol Calle</w:t>
            </w:r>
          </w:p>
        </w:tc>
        <w:tc>
          <w:tcPr>
            <w:tcW w:w="1309" w:type="dxa"/>
            <w:tcBorders>
              <w:top w:val="nil"/>
              <w:left w:val="single" w:sz="4" w:space="0" w:color="auto"/>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c>
          <w:tcPr>
            <w:tcW w:w="72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c>
          <w:tcPr>
            <w:tcW w:w="1276"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10"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c>
          <w:tcPr>
            <w:tcW w:w="745"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11"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ÁREA PASARELA PEATONAL Y PUENTES</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1.557.360.000</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2,34%</w:t>
            </w:r>
          </w:p>
        </w:tc>
        <w:tc>
          <w:tcPr>
            <w:tcW w:w="72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45</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2C14B3"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xml:space="preserve">5,17 </w:t>
            </w:r>
            <w:r w:rsidR="00DF7ADB" w:rsidRPr="00057810">
              <w:rPr>
                <w:rFonts w:ascii="Garamond" w:eastAsia="Times New Roman" w:hAnsi="Garamond" w:cs="Times New Roman"/>
                <w:color w:val="000000"/>
                <w:sz w:val="18"/>
                <w:szCs w:val="18"/>
                <w:lang w:eastAsia="es-CL"/>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1.886.943.321</w:t>
            </w:r>
          </w:p>
        </w:tc>
        <w:tc>
          <w:tcPr>
            <w:tcW w:w="1010"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2,79%</w:t>
            </w:r>
          </w:p>
        </w:tc>
        <w:tc>
          <w:tcPr>
            <w:tcW w:w="745"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57</w:t>
            </w:r>
          </w:p>
        </w:tc>
        <w:tc>
          <w:tcPr>
            <w:tcW w:w="1011" w:type="dxa"/>
            <w:tcBorders>
              <w:top w:val="nil"/>
              <w:left w:val="nil"/>
              <w:bottom w:val="single" w:sz="8" w:space="0" w:color="auto"/>
              <w:right w:val="single" w:sz="8" w:space="0" w:color="auto"/>
            </w:tcBorders>
            <w:shd w:val="clear" w:color="auto" w:fill="auto"/>
            <w:noWrap/>
            <w:vAlign w:val="bottom"/>
            <w:hideMark/>
          </w:tcPr>
          <w:p w:rsidR="00DF7ADB" w:rsidRPr="00057810" w:rsidRDefault="00EA411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4,91</w:t>
            </w:r>
            <w:r w:rsidR="00DF7ADB" w:rsidRPr="00057810">
              <w:rPr>
                <w:rFonts w:ascii="Garamond" w:eastAsia="Times New Roman" w:hAnsi="Garamond" w:cs="Times New Roman"/>
                <w:color w:val="000000"/>
                <w:sz w:val="18"/>
                <w:szCs w:val="18"/>
                <w:lang w:eastAsia="es-CL"/>
              </w:rPr>
              <w:t>%</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000000" w:fill="FFC000"/>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Línea 100 Pasarelas</w:t>
            </w:r>
          </w:p>
        </w:tc>
        <w:tc>
          <w:tcPr>
            <w:tcW w:w="1309" w:type="dxa"/>
            <w:tcBorders>
              <w:top w:val="nil"/>
              <w:left w:val="single" w:sz="4" w:space="0" w:color="auto"/>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c>
          <w:tcPr>
            <w:tcW w:w="72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c>
          <w:tcPr>
            <w:tcW w:w="1276"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1.655.324.558</w:t>
            </w:r>
          </w:p>
        </w:tc>
        <w:tc>
          <w:tcPr>
            <w:tcW w:w="1010"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2,45%</w:t>
            </w:r>
          </w:p>
        </w:tc>
        <w:tc>
          <w:tcPr>
            <w:tcW w:w="745"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48</w:t>
            </w:r>
          </w:p>
        </w:tc>
        <w:tc>
          <w:tcPr>
            <w:tcW w:w="1011"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4,13%</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ÁREA PLAZA ACTIVA</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589.432.000</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0,89%</w:t>
            </w:r>
          </w:p>
        </w:tc>
        <w:tc>
          <w:tcPr>
            <w:tcW w:w="72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18</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2C14B3"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2,07</w:t>
            </w:r>
            <w:r w:rsidR="00DF7ADB" w:rsidRPr="00057810">
              <w:rPr>
                <w:rFonts w:ascii="Garamond" w:eastAsia="Times New Roman" w:hAnsi="Garamond" w:cs="Times New Roman"/>
                <w:color w:val="000000"/>
                <w:sz w:val="18"/>
                <w:szCs w:val="18"/>
                <w:lang w:eastAsia="es-CL"/>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2.048.477.426</w:t>
            </w:r>
          </w:p>
        </w:tc>
        <w:tc>
          <w:tcPr>
            <w:tcW w:w="1010"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3,03%</w:t>
            </w:r>
          </w:p>
        </w:tc>
        <w:tc>
          <w:tcPr>
            <w:tcW w:w="745"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63</w:t>
            </w:r>
          </w:p>
        </w:tc>
        <w:tc>
          <w:tcPr>
            <w:tcW w:w="1011" w:type="dxa"/>
            <w:tcBorders>
              <w:top w:val="nil"/>
              <w:left w:val="nil"/>
              <w:bottom w:val="single" w:sz="8" w:space="0" w:color="auto"/>
              <w:right w:val="single" w:sz="8" w:space="0" w:color="auto"/>
            </w:tcBorders>
            <w:shd w:val="clear" w:color="auto" w:fill="auto"/>
            <w:noWrap/>
            <w:vAlign w:val="bottom"/>
            <w:hideMark/>
          </w:tcPr>
          <w:p w:rsidR="00DF7ADB" w:rsidRPr="00057810" w:rsidRDefault="00EA411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5,42</w:t>
            </w:r>
            <w:r w:rsidR="00DF7ADB" w:rsidRPr="00057810">
              <w:rPr>
                <w:rFonts w:ascii="Garamond" w:eastAsia="Times New Roman" w:hAnsi="Garamond" w:cs="Times New Roman"/>
                <w:color w:val="000000"/>
                <w:sz w:val="18"/>
                <w:szCs w:val="18"/>
                <w:lang w:eastAsia="es-CL"/>
              </w:rPr>
              <w:t>%</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000000" w:fill="FFC000"/>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Línea EVS</w:t>
            </w:r>
          </w:p>
        </w:tc>
        <w:tc>
          <w:tcPr>
            <w:tcW w:w="1309" w:type="dxa"/>
            <w:tcBorders>
              <w:top w:val="nil"/>
              <w:left w:val="single" w:sz="4" w:space="0" w:color="auto"/>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c>
          <w:tcPr>
            <w:tcW w:w="72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0,00%</w:t>
            </w:r>
          </w:p>
        </w:tc>
        <w:tc>
          <w:tcPr>
            <w:tcW w:w="1276" w:type="dxa"/>
            <w:tcBorders>
              <w:top w:val="nil"/>
              <w:left w:val="nil"/>
              <w:bottom w:val="single" w:sz="8" w:space="0" w:color="auto"/>
              <w:right w:val="single" w:sz="8" w:space="0" w:color="auto"/>
            </w:tcBorders>
            <w:shd w:val="clear" w:color="000000" w:fill="FFC000"/>
            <w:noWrap/>
            <w:vAlign w:val="bottom"/>
            <w:hideMark/>
          </w:tcPr>
          <w:p w:rsidR="00DF7ADB" w:rsidRPr="00057810" w:rsidRDefault="006F6D78"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2.006.583.426</w:t>
            </w:r>
          </w:p>
        </w:tc>
        <w:tc>
          <w:tcPr>
            <w:tcW w:w="1010"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2,97%</w:t>
            </w:r>
          </w:p>
        </w:tc>
        <w:tc>
          <w:tcPr>
            <w:tcW w:w="745" w:type="dxa"/>
            <w:tcBorders>
              <w:top w:val="nil"/>
              <w:left w:val="nil"/>
              <w:bottom w:val="single" w:sz="8" w:space="0" w:color="auto"/>
              <w:right w:val="single" w:sz="8" w:space="0" w:color="auto"/>
            </w:tcBorders>
            <w:shd w:val="clear" w:color="000000" w:fill="FFC000"/>
            <w:noWrap/>
            <w:vAlign w:val="bottom"/>
            <w:hideMark/>
          </w:tcPr>
          <w:p w:rsidR="00DF7ADB" w:rsidRPr="00057810" w:rsidRDefault="006F6D78"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60</w:t>
            </w:r>
          </w:p>
        </w:tc>
        <w:tc>
          <w:tcPr>
            <w:tcW w:w="1011" w:type="dxa"/>
            <w:tcBorders>
              <w:top w:val="nil"/>
              <w:left w:val="nil"/>
              <w:bottom w:val="single" w:sz="8" w:space="0" w:color="auto"/>
              <w:right w:val="single" w:sz="8" w:space="0" w:color="auto"/>
            </w:tcBorders>
            <w:shd w:val="clear" w:color="000000" w:fill="FFC000"/>
            <w:noWrap/>
            <w:vAlign w:val="bottom"/>
            <w:hideMark/>
          </w:tcPr>
          <w:p w:rsidR="00DF7ADB" w:rsidRPr="00057810" w:rsidRDefault="00DF7ADB"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5,16%</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309" w:type="dxa"/>
            <w:tcBorders>
              <w:top w:val="nil"/>
              <w:left w:val="single" w:sz="4" w:space="0" w:color="auto"/>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72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047"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276"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010"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745"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011" w:type="dxa"/>
            <w:tcBorders>
              <w:top w:val="nil"/>
              <w:left w:val="nil"/>
              <w:bottom w:val="single" w:sz="8" w:space="0" w:color="auto"/>
              <w:right w:val="single" w:sz="8" w:space="0" w:color="auto"/>
            </w:tcBorders>
            <w:shd w:val="clear" w:color="auto" w:fill="auto"/>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000000" w:fill="D99594"/>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TOTAL CARTERA</w:t>
            </w:r>
            <w:r w:rsidR="003F23F4" w:rsidRPr="00057810">
              <w:rPr>
                <w:rFonts w:ascii="Garamond" w:eastAsia="Times New Roman" w:hAnsi="Garamond" w:cs="Times New Roman"/>
                <w:color w:val="000000"/>
                <w:sz w:val="18"/>
                <w:szCs w:val="18"/>
                <w:lang w:eastAsia="es-CL"/>
              </w:rPr>
              <w:t xml:space="preserve"> PMU (21 ÁREAS DE INVERSIÓN, INCLUYENDO LÍNEAS MODULARES)</w:t>
            </w:r>
          </w:p>
        </w:tc>
        <w:tc>
          <w:tcPr>
            <w:tcW w:w="1309" w:type="dxa"/>
            <w:tcBorders>
              <w:top w:val="nil"/>
              <w:left w:val="single" w:sz="4" w:space="0" w:color="auto"/>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66.427.771.178</w:t>
            </w:r>
          </w:p>
        </w:tc>
        <w:tc>
          <w:tcPr>
            <w:tcW w:w="1047"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w:t>
            </w:r>
          </w:p>
        </w:tc>
        <w:tc>
          <w:tcPr>
            <w:tcW w:w="727"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871</w:t>
            </w:r>
          </w:p>
        </w:tc>
        <w:tc>
          <w:tcPr>
            <w:tcW w:w="1047"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100,00%</w:t>
            </w:r>
          </w:p>
        </w:tc>
        <w:tc>
          <w:tcPr>
            <w:tcW w:w="1276"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67.666.629.087</w:t>
            </w:r>
          </w:p>
        </w:tc>
        <w:tc>
          <w:tcPr>
            <w:tcW w:w="1010"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w:t>
            </w:r>
          </w:p>
        </w:tc>
        <w:tc>
          <w:tcPr>
            <w:tcW w:w="745"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1.162</w:t>
            </w:r>
          </w:p>
        </w:tc>
        <w:tc>
          <w:tcPr>
            <w:tcW w:w="1011"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100,00%</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000000" w:fill="D99594"/>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xml:space="preserve">PARTICIP </w:t>
            </w:r>
            <w:r w:rsidR="003F23F4" w:rsidRPr="00057810">
              <w:rPr>
                <w:rFonts w:ascii="Garamond" w:eastAsia="Times New Roman" w:hAnsi="Garamond" w:cs="Times New Roman"/>
                <w:color w:val="000000"/>
                <w:sz w:val="18"/>
                <w:szCs w:val="18"/>
                <w:lang w:eastAsia="es-CL"/>
              </w:rPr>
              <w:t xml:space="preserve">DE </w:t>
            </w:r>
            <w:r w:rsidRPr="00057810">
              <w:rPr>
                <w:rFonts w:ascii="Garamond" w:eastAsia="Times New Roman" w:hAnsi="Garamond" w:cs="Times New Roman"/>
                <w:color w:val="000000"/>
                <w:sz w:val="18"/>
                <w:szCs w:val="18"/>
                <w:lang w:eastAsia="es-CL"/>
              </w:rPr>
              <w:t>3 ÁREAS DE INV</w:t>
            </w:r>
            <w:r w:rsidR="003F23F4" w:rsidRPr="00057810">
              <w:rPr>
                <w:rFonts w:ascii="Garamond" w:eastAsia="Times New Roman" w:hAnsi="Garamond" w:cs="Times New Roman"/>
                <w:color w:val="000000"/>
                <w:sz w:val="18"/>
                <w:szCs w:val="18"/>
                <w:lang w:eastAsia="es-CL"/>
              </w:rPr>
              <w:t>ERSIÓN EN CARTERA TOTAL</w:t>
            </w:r>
          </w:p>
        </w:tc>
        <w:tc>
          <w:tcPr>
            <w:tcW w:w="1309" w:type="dxa"/>
            <w:tcBorders>
              <w:top w:val="nil"/>
              <w:left w:val="single" w:sz="4" w:space="0" w:color="auto"/>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8.330.499.000</w:t>
            </w:r>
          </w:p>
        </w:tc>
        <w:tc>
          <w:tcPr>
            <w:tcW w:w="1047"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12,54%</w:t>
            </w:r>
          </w:p>
        </w:tc>
        <w:tc>
          <w:tcPr>
            <w:tcW w:w="727" w:type="dxa"/>
            <w:tcBorders>
              <w:top w:val="nil"/>
              <w:left w:val="nil"/>
              <w:bottom w:val="single" w:sz="8" w:space="0" w:color="auto"/>
              <w:right w:val="single" w:sz="8" w:space="0" w:color="auto"/>
            </w:tcBorders>
            <w:shd w:val="clear" w:color="000000" w:fill="D99594"/>
            <w:noWrap/>
            <w:vAlign w:val="bottom"/>
            <w:hideMark/>
          </w:tcPr>
          <w:p w:rsidR="00DF7ADB" w:rsidRPr="00057810" w:rsidRDefault="002C14B3"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246</w:t>
            </w:r>
          </w:p>
        </w:tc>
        <w:tc>
          <w:tcPr>
            <w:tcW w:w="1047" w:type="dxa"/>
            <w:tcBorders>
              <w:top w:val="nil"/>
              <w:left w:val="nil"/>
              <w:bottom w:val="single" w:sz="8" w:space="0" w:color="auto"/>
              <w:right w:val="single" w:sz="8" w:space="0" w:color="auto"/>
            </w:tcBorders>
            <w:shd w:val="clear" w:color="000000" w:fill="D99594"/>
            <w:noWrap/>
            <w:vAlign w:val="bottom"/>
            <w:hideMark/>
          </w:tcPr>
          <w:p w:rsidR="00DF7ADB" w:rsidRPr="00057810" w:rsidRDefault="002C14B3"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28,24</w:t>
            </w:r>
            <w:r w:rsidR="00DF7ADB" w:rsidRPr="00057810">
              <w:rPr>
                <w:rFonts w:ascii="Garamond" w:eastAsia="Times New Roman" w:hAnsi="Garamond" w:cs="Times New Roman"/>
                <w:color w:val="000000"/>
                <w:sz w:val="18"/>
                <w:szCs w:val="18"/>
                <w:lang w:eastAsia="es-CL"/>
              </w:rPr>
              <w:t>%</w:t>
            </w:r>
          </w:p>
        </w:tc>
        <w:tc>
          <w:tcPr>
            <w:tcW w:w="1276"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10.663.488.028</w:t>
            </w:r>
          </w:p>
        </w:tc>
        <w:tc>
          <w:tcPr>
            <w:tcW w:w="1010"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15,76%</w:t>
            </w:r>
          </w:p>
        </w:tc>
        <w:tc>
          <w:tcPr>
            <w:tcW w:w="745" w:type="dxa"/>
            <w:tcBorders>
              <w:top w:val="nil"/>
              <w:left w:val="nil"/>
              <w:bottom w:val="single" w:sz="8" w:space="0" w:color="auto"/>
              <w:right w:val="single" w:sz="8" w:space="0" w:color="auto"/>
            </w:tcBorders>
            <w:shd w:val="clear" w:color="000000" w:fill="D99594"/>
            <w:noWrap/>
            <w:vAlign w:val="bottom"/>
            <w:hideMark/>
          </w:tcPr>
          <w:p w:rsidR="00DF7ADB" w:rsidRPr="00057810" w:rsidRDefault="00EA411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293</w:t>
            </w:r>
          </w:p>
        </w:tc>
        <w:tc>
          <w:tcPr>
            <w:tcW w:w="1011" w:type="dxa"/>
            <w:tcBorders>
              <w:top w:val="nil"/>
              <w:left w:val="nil"/>
              <w:bottom w:val="single" w:sz="8" w:space="0" w:color="auto"/>
              <w:right w:val="single" w:sz="8" w:space="0" w:color="auto"/>
            </w:tcBorders>
            <w:shd w:val="clear" w:color="000000" w:fill="D99594"/>
            <w:noWrap/>
            <w:vAlign w:val="bottom"/>
            <w:hideMark/>
          </w:tcPr>
          <w:p w:rsidR="00DF7ADB" w:rsidRPr="00057810" w:rsidRDefault="00EA411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25,22</w:t>
            </w:r>
            <w:r w:rsidR="00DF7ADB" w:rsidRPr="00057810">
              <w:rPr>
                <w:rFonts w:ascii="Garamond" w:eastAsia="Times New Roman" w:hAnsi="Garamond" w:cs="Times New Roman"/>
                <w:color w:val="000000"/>
                <w:sz w:val="18"/>
                <w:szCs w:val="18"/>
                <w:lang w:eastAsia="es-CL"/>
              </w:rPr>
              <w:t>%</w:t>
            </w:r>
          </w:p>
        </w:tc>
      </w:tr>
      <w:tr w:rsidR="006C6F42" w:rsidRPr="00057810" w:rsidTr="00057810">
        <w:trPr>
          <w:jc w:val="center"/>
        </w:trPr>
        <w:tc>
          <w:tcPr>
            <w:tcW w:w="3119" w:type="dxa"/>
            <w:tcBorders>
              <w:top w:val="nil"/>
              <w:left w:val="single" w:sz="8" w:space="0" w:color="auto"/>
              <w:bottom w:val="single" w:sz="8" w:space="0" w:color="auto"/>
              <w:right w:val="single" w:sz="4" w:space="0" w:color="auto"/>
            </w:tcBorders>
            <w:shd w:val="clear" w:color="000000" w:fill="D99594"/>
            <w:noWrap/>
            <w:vAlign w:val="bottom"/>
            <w:hideMark/>
          </w:tcPr>
          <w:p w:rsidR="00DF7ADB" w:rsidRPr="00057810" w:rsidRDefault="00DF7ADB" w:rsidP="00057810">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xml:space="preserve">PARTICIP </w:t>
            </w:r>
            <w:r w:rsidR="003F23F4" w:rsidRPr="00057810">
              <w:rPr>
                <w:rFonts w:ascii="Garamond" w:eastAsia="Times New Roman" w:hAnsi="Garamond" w:cs="Times New Roman"/>
                <w:color w:val="000000"/>
                <w:sz w:val="18"/>
                <w:szCs w:val="18"/>
                <w:lang w:eastAsia="es-CL"/>
              </w:rPr>
              <w:t xml:space="preserve">DE </w:t>
            </w:r>
            <w:r w:rsidRPr="00057810">
              <w:rPr>
                <w:rFonts w:ascii="Garamond" w:eastAsia="Times New Roman" w:hAnsi="Garamond" w:cs="Times New Roman"/>
                <w:color w:val="000000"/>
                <w:sz w:val="18"/>
                <w:szCs w:val="18"/>
                <w:lang w:eastAsia="es-CL"/>
              </w:rPr>
              <w:t>3 LÍN</w:t>
            </w:r>
            <w:r w:rsidR="003F23F4" w:rsidRPr="00057810">
              <w:rPr>
                <w:rFonts w:ascii="Garamond" w:eastAsia="Times New Roman" w:hAnsi="Garamond" w:cs="Times New Roman"/>
                <w:color w:val="000000"/>
                <w:sz w:val="18"/>
                <w:szCs w:val="18"/>
                <w:lang w:eastAsia="es-CL"/>
              </w:rPr>
              <w:t>EAS</w:t>
            </w:r>
            <w:r w:rsidRPr="00057810">
              <w:rPr>
                <w:rFonts w:ascii="Garamond" w:eastAsia="Times New Roman" w:hAnsi="Garamond" w:cs="Times New Roman"/>
                <w:color w:val="000000"/>
                <w:sz w:val="18"/>
                <w:szCs w:val="18"/>
                <w:lang w:eastAsia="es-CL"/>
              </w:rPr>
              <w:t xml:space="preserve"> MODU</w:t>
            </w:r>
            <w:r w:rsidR="003F23F4" w:rsidRPr="00057810">
              <w:rPr>
                <w:rFonts w:ascii="Garamond" w:eastAsia="Times New Roman" w:hAnsi="Garamond" w:cs="Times New Roman"/>
                <w:color w:val="000000"/>
                <w:sz w:val="18"/>
                <w:szCs w:val="18"/>
                <w:lang w:eastAsia="es-CL"/>
              </w:rPr>
              <w:t>LARES EN CARTERA TOTAL</w:t>
            </w:r>
          </w:p>
        </w:tc>
        <w:tc>
          <w:tcPr>
            <w:tcW w:w="1309" w:type="dxa"/>
            <w:tcBorders>
              <w:top w:val="nil"/>
              <w:left w:val="single" w:sz="4" w:space="0" w:color="auto"/>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727"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w:t>
            </w:r>
          </w:p>
        </w:tc>
        <w:tc>
          <w:tcPr>
            <w:tcW w:w="1047" w:type="dxa"/>
            <w:tcBorders>
              <w:top w:val="nil"/>
              <w:left w:val="nil"/>
              <w:bottom w:val="single" w:sz="8" w:space="0" w:color="auto"/>
              <w:right w:val="single" w:sz="8" w:space="0" w:color="auto"/>
            </w:tcBorders>
            <w:shd w:val="clear" w:color="000000" w:fill="D99594"/>
            <w:noWrap/>
            <w:vAlign w:val="bottom"/>
            <w:hideMark/>
          </w:tcPr>
          <w:p w:rsidR="00DF7ADB" w:rsidRPr="00057810" w:rsidRDefault="00DF7AD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0,00%</w:t>
            </w:r>
          </w:p>
        </w:tc>
        <w:tc>
          <w:tcPr>
            <w:tcW w:w="1276" w:type="dxa"/>
            <w:tcBorders>
              <w:top w:val="nil"/>
              <w:left w:val="nil"/>
              <w:bottom w:val="single" w:sz="8" w:space="0" w:color="auto"/>
              <w:right w:val="single" w:sz="8" w:space="0" w:color="auto"/>
            </w:tcBorders>
            <w:shd w:val="clear" w:color="000000" w:fill="D99594"/>
            <w:noWrap/>
            <w:vAlign w:val="bottom"/>
            <w:hideMark/>
          </w:tcPr>
          <w:p w:rsidR="00DF7ADB" w:rsidRPr="00057810" w:rsidRDefault="003242F4" w:rsidP="00057810">
            <w:pPr>
              <w:spacing w:after="0" w:line="240" w:lineRule="auto"/>
              <w:jc w:val="right"/>
              <w:rPr>
                <w:rFonts w:ascii="Garamond" w:eastAsia="Times New Roman" w:hAnsi="Garamond" w:cs="Times New Roman"/>
                <w:color w:val="000000"/>
                <w:sz w:val="18"/>
                <w:szCs w:val="18"/>
                <w:highlight w:val="red"/>
                <w:lang w:eastAsia="es-CL"/>
              </w:rPr>
            </w:pPr>
            <w:r w:rsidRPr="00057810">
              <w:rPr>
                <w:rFonts w:ascii="Garamond" w:eastAsia="Times New Roman" w:hAnsi="Garamond" w:cs="Times New Roman"/>
                <w:color w:val="000000"/>
                <w:sz w:val="18"/>
                <w:szCs w:val="18"/>
                <w:lang w:eastAsia="es-CL"/>
              </w:rPr>
              <w:t>3.661.907.984</w:t>
            </w:r>
          </w:p>
        </w:tc>
        <w:tc>
          <w:tcPr>
            <w:tcW w:w="1010" w:type="dxa"/>
            <w:tcBorders>
              <w:top w:val="nil"/>
              <w:left w:val="nil"/>
              <w:bottom w:val="single" w:sz="8" w:space="0" w:color="auto"/>
              <w:right w:val="single" w:sz="8" w:space="0" w:color="auto"/>
            </w:tcBorders>
            <w:shd w:val="clear" w:color="000000" w:fill="D99594"/>
            <w:noWrap/>
            <w:vAlign w:val="bottom"/>
            <w:hideMark/>
          </w:tcPr>
          <w:p w:rsidR="00DF7ADB" w:rsidRPr="00057810" w:rsidRDefault="002A1BDF"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w:t>
            </w:r>
            <w:r w:rsidR="00DF7ADB" w:rsidRPr="00057810">
              <w:rPr>
                <w:rFonts w:ascii="Garamond" w:eastAsia="Times New Roman" w:hAnsi="Garamond" w:cs="Times New Roman"/>
                <w:color w:val="000000"/>
                <w:sz w:val="18"/>
                <w:szCs w:val="18"/>
                <w:lang w:eastAsia="es-CL"/>
              </w:rPr>
              <w:t>,</w:t>
            </w:r>
            <w:r w:rsidRPr="00057810">
              <w:rPr>
                <w:rFonts w:ascii="Garamond" w:eastAsia="Times New Roman" w:hAnsi="Garamond" w:cs="Times New Roman"/>
                <w:color w:val="000000"/>
                <w:sz w:val="18"/>
                <w:szCs w:val="18"/>
                <w:lang w:eastAsia="es-CL"/>
              </w:rPr>
              <w:t>41</w:t>
            </w:r>
            <w:r w:rsidR="00DF7ADB" w:rsidRPr="00057810">
              <w:rPr>
                <w:rFonts w:ascii="Garamond" w:eastAsia="Times New Roman" w:hAnsi="Garamond" w:cs="Times New Roman"/>
                <w:color w:val="000000"/>
                <w:sz w:val="18"/>
                <w:szCs w:val="18"/>
                <w:lang w:eastAsia="es-CL"/>
              </w:rPr>
              <w:t>%</w:t>
            </w:r>
          </w:p>
        </w:tc>
        <w:tc>
          <w:tcPr>
            <w:tcW w:w="745" w:type="dxa"/>
            <w:tcBorders>
              <w:top w:val="nil"/>
              <w:left w:val="nil"/>
              <w:bottom w:val="single" w:sz="8" w:space="0" w:color="auto"/>
              <w:right w:val="single" w:sz="8" w:space="0" w:color="auto"/>
            </w:tcBorders>
            <w:shd w:val="clear" w:color="000000" w:fill="D99594"/>
            <w:noWrap/>
            <w:vAlign w:val="bottom"/>
            <w:hideMark/>
          </w:tcPr>
          <w:p w:rsidR="00DF7ADB" w:rsidRPr="00057810" w:rsidRDefault="00EA411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108</w:t>
            </w:r>
          </w:p>
        </w:tc>
        <w:tc>
          <w:tcPr>
            <w:tcW w:w="1011" w:type="dxa"/>
            <w:tcBorders>
              <w:top w:val="nil"/>
              <w:left w:val="nil"/>
              <w:bottom w:val="single" w:sz="8" w:space="0" w:color="auto"/>
              <w:right w:val="single" w:sz="8" w:space="0" w:color="auto"/>
            </w:tcBorders>
            <w:shd w:val="clear" w:color="000000" w:fill="D99594"/>
            <w:noWrap/>
            <w:vAlign w:val="bottom"/>
            <w:hideMark/>
          </w:tcPr>
          <w:p w:rsidR="00DF7ADB" w:rsidRPr="00057810" w:rsidRDefault="00EA411B" w:rsidP="00057810">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xml:space="preserve">9,29 </w:t>
            </w:r>
            <w:r w:rsidR="00DF7ADB" w:rsidRPr="00057810">
              <w:rPr>
                <w:rFonts w:ascii="Garamond" w:eastAsia="Times New Roman" w:hAnsi="Garamond" w:cs="Times New Roman"/>
                <w:color w:val="000000"/>
                <w:sz w:val="18"/>
                <w:szCs w:val="18"/>
                <w:lang w:eastAsia="es-CL"/>
              </w:rPr>
              <w:t>%</w:t>
            </w:r>
          </w:p>
        </w:tc>
      </w:tr>
    </w:tbl>
    <w:p w:rsidR="0069137F" w:rsidRPr="00F111CA" w:rsidRDefault="0069137F" w:rsidP="004547D3">
      <w:pPr>
        <w:spacing w:after="120" w:line="240" w:lineRule="auto"/>
        <w:jc w:val="center"/>
        <w:rPr>
          <w:rFonts w:ascii="Garamond" w:hAnsi="Garamond"/>
        </w:rPr>
      </w:pPr>
    </w:p>
    <w:p w:rsidR="00EC01CC" w:rsidRPr="00F111CA" w:rsidRDefault="00DF7ADB" w:rsidP="004547D3">
      <w:pPr>
        <w:spacing w:after="120" w:line="240" w:lineRule="auto"/>
        <w:jc w:val="center"/>
        <w:rPr>
          <w:rFonts w:ascii="Garamond" w:hAnsi="Garamond"/>
        </w:rPr>
      </w:pPr>
      <w:r w:rsidRPr="00F111CA">
        <w:rPr>
          <w:rFonts w:ascii="Garamond" w:hAnsi="Garamond"/>
        </w:rPr>
        <w:t>CONTINUACIÓN TABLA N°</w:t>
      </w:r>
      <w:r w:rsidR="00C666FC" w:rsidRPr="00F111CA">
        <w:rPr>
          <w:rFonts w:ascii="Garamond" w:hAnsi="Garamond"/>
        </w:rPr>
        <w:t xml:space="preserve"> 7</w:t>
      </w:r>
      <w:r w:rsidRPr="00F111CA">
        <w:rPr>
          <w:rFonts w:ascii="Garamond" w:hAnsi="Garamond"/>
        </w:rPr>
        <w:t>:</w:t>
      </w:r>
    </w:p>
    <w:tbl>
      <w:tblPr>
        <w:tblW w:w="6390" w:type="pct"/>
        <w:jc w:val="center"/>
        <w:tblLayout w:type="fixed"/>
        <w:tblCellMar>
          <w:left w:w="70" w:type="dxa"/>
          <w:right w:w="70" w:type="dxa"/>
        </w:tblCellMar>
        <w:tblLook w:val="04A0" w:firstRow="1" w:lastRow="0" w:firstColumn="1" w:lastColumn="0" w:noHBand="0" w:noVBand="1"/>
      </w:tblPr>
      <w:tblGrid>
        <w:gridCol w:w="3080"/>
        <w:gridCol w:w="1309"/>
        <w:gridCol w:w="1014"/>
        <w:gridCol w:w="728"/>
        <w:gridCol w:w="1034"/>
        <w:gridCol w:w="1393"/>
        <w:gridCol w:w="1014"/>
        <w:gridCol w:w="719"/>
        <w:gridCol w:w="978"/>
      </w:tblGrid>
      <w:tr w:rsidR="00057810" w:rsidRPr="00057810" w:rsidTr="005116EB">
        <w:trPr>
          <w:jc w:val="center"/>
        </w:trPr>
        <w:tc>
          <w:tcPr>
            <w:tcW w:w="136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7ADB" w:rsidRPr="00057810" w:rsidRDefault="00DF7ADB"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1812" w:type="pct"/>
            <w:gridSpan w:val="4"/>
            <w:tcBorders>
              <w:top w:val="single" w:sz="8" w:space="0" w:color="auto"/>
              <w:left w:val="nil"/>
              <w:bottom w:val="single" w:sz="8" w:space="0" w:color="auto"/>
              <w:right w:val="single" w:sz="8" w:space="0" w:color="000000"/>
            </w:tcBorders>
            <w:shd w:val="clear" w:color="auto" w:fill="auto"/>
            <w:noWrap/>
            <w:vAlign w:val="bottom"/>
            <w:hideMark/>
          </w:tcPr>
          <w:p w:rsidR="00DF7ADB" w:rsidRPr="00057810" w:rsidRDefault="00DF7ADB" w:rsidP="00DF7ADB">
            <w:pPr>
              <w:spacing w:after="0" w:line="240" w:lineRule="auto"/>
              <w:jc w:val="center"/>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2013</w:t>
            </w:r>
          </w:p>
        </w:tc>
        <w:tc>
          <w:tcPr>
            <w:tcW w:w="1822" w:type="pct"/>
            <w:gridSpan w:val="4"/>
            <w:tcBorders>
              <w:top w:val="single" w:sz="8" w:space="0" w:color="auto"/>
              <w:left w:val="nil"/>
              <w:bottom w:val="single" w:sz="8" w:space="0" w:color="auto"/>
              <w:right w:val="single" w:sz="8" w:space="0" w:color="000000"/>
            </w:tcBorders>
            <w:shd w:val="clear" w:color="auto" w:fill="auto"/>
            <w:noWrap/>
            <w:vAlign w:val="bottom"/>
            <w:hideMark/>
          </w:tcPr>
          <w:p w:rsidR="00DF7ADB" w:rsidRPr="00057810" w:rsidRDefault="00DF7ADB" w:rsidP="00DF7ADB">
            <w:pPr>
              <w:spacing w:after="0" w:line="240" w:lineRule="auto"/>
              <w:jc w:val="center"/>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Total Trienio</w:t>
            </w:r>
          </w:p>
        </w:tc>
      </w:tr>
      <w:tr w:rsidR="00057810" w:rsidRPr="00057810" w:rsidTr="005116EB">
        <w:trPr>
          <w:jc w:val="center"/>
        </w:trPr>
        <w:tc>
          <w:tcPr>
            <w:tcW w:w="1366" w:type="pct"/>
            <w:tcBorders>
              <w:top w:val="nil"/>
              <w:left w:val="single" w:sz="8" w:space="0" w:color="auto"/>
              <w:bottom w:val="single" w:sz="8" w:space="0" w:color="auto"/>
              <w:right w:val="single" w:sz="8" w:space="0" w:color="auto"/>
            </w:tcBorders>
            <w:shd w:val="clear" w:color="auto" w:fill="auto"/>
            <w:noWrap/>
            <w:vAlign w:val="bottom"/>
            <w:hideMark/>
          </w:tcPr>
          <w:p w:rsidR="00DF7ADB" w:rsidRPr="00057810" w:rsidRDefault="00DF7ADB"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581"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Monto ($)</w:t>
            </w:r>
          </w:p>
        </w:tc>
        <w:tc>
          <w:tcPr>
            <w:tcW w:w="450"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PRTIC $ EN CARTERA TOTAL</w:t>
            </w:r>
          </w:p>
        </w:tc>
        <w:tc>
          <w:tcPr>
            <w:tcW w:w="323"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N° PROY</w:t>
            </w:r>
          </w:p>
        </w:tc>
        <w:tc>
          <w:tcPr>
            <w:tcW w:w="459"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PARTIC N° EN CARTERA TOTAL</w:t>
            </w:r>
          </w:p>
        </w:tc>
        <w:tc>
          <w:tcPr>
            <w:tcW w:w="618"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Monto ($)</w:t>
            </w:r>
          </w:p>
        </w:tc>
        <w:tc>
          <w:tcPr>
            <w:tcW w:w="450"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PRTIC $ EN CARTERA TOTAL</w:t>
            </w:r>
          </w:p>
        </w:tc>
        <w:tc>
          <w:tcPr>
            <w:tcW w:w="319"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N° PROY</w:t>
            </w:r>
          </w:p>
        </w:tc>
        <w:tc>
          <w:tcPr>
            <w:tcW w:w="434" w:type="pct"/>
            <w:tcBorders>
              <w:top w:val="nil"/>
              <w:left w:val="nil"/>
              <w:bottom w:val="single" w:sz="8" w:space="0" w:color="auto"/>
              <w:right w:val="single" w:sz="8" w:space="0" w:color="auto"/>
            </w:tcBorders>
            <w:shd w:val="clear" w:color="auto" w:fill="auto"/>
            <w:vAlign w:val="bottom"/>
            <w:hideMark/>
          </w:tcPr>
          <w:p w:rsidR="00DF7ADB" w:rsidRPr="00057810" w:rsidRDefault="00DF7AD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PARTIC N° EN CARTERA TOTAL</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ÁREA CONSTRUCCIÓN Y MEJORAMIENTO DE CANCHAS DEPORTIVAS</w:t>
            </w:r>
          </w:p>
        </w:tc>
        <w:tc>
          <w:tcPr>
            <w:tcW w:w="58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6.597.527.747</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12,09%</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170</w:t>
            </w:r>
          </w:p>
        </w:tc>
        <w:tc>
          <w:tcPr>
            <w:tcW w:w="459" w:type="pct"/>
            <w:tcBorders>
              <w:top w:val="nil"/>
              <w:left w:val="nil"/>
              <w:bottom w:val="single" w:sz="8" w:space="0" w:color="auto"/>
              <w:right w:val="single" w:sz="8" w:space="0" w:color="auto"/>
            </w:tcBorders>
            <w:shd w:val="clear" w:color="auto" w:fill="auto"/>
            <w:noWrap/>
            <w:vAlign w:val="bottom"/>
            <w:hideMark/>
          </w:tcPr>
          <w:p w:rsidR="00C80F6C" w:rsidRPr="00057810" w:rsidRDefault="00EA411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10,95</w:t>
            </w:r>
            <w:r w:rsidR="00C80F6C" w:rsidRPr="00057810">
              <w:rPr>
                <w:rFonts w:ascii="Garamond" w:eastAsia="Times New Roman" w:hAnsi="Garamond" w:cs="Times New Roman"/>
                <w:color w:val="000000"/>
                <w:sz w:val="18"/>
                <w:szCs w:val="18"/>
                <w:lang w:eastAsia="es-CL"/>
              </w:rPr>
              <w:t>%</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19.509.302.028</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10,34%</w:t>
            </w:r>
          </w:p>
        </w:tc>
        <w:tc>
          <w:tcPr>
            <w:tcW w:w="319"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526</w:t>
            </w:r>
          </w:p>
        </w:tc>
        <w:tc>
          <w:tcPr>
            <w:tcW w:w="434" w:type="pct"/>
            <w:tcBorders>
              <w:top w:val="nil"/>
              <w:left w:val="nil"/>
              <w:bottom w:val="single" w:sz="8" w:space="0" w:color="auto"/>
              <w:right w:val="single" w:sz="8" w:space="0" w:color="auto"/>
            </w:tcBorders>
            <w:shd w:val="clear" w:color="auto" w:fill="auto"/>
            <w:noWrap/>
            <w:vAlign w:val="bottom"/>
            <w:hideMark/>
          </w:tcPr>
          <w:p w:rsidR="00C80F6C" w:rsidRPr="00057810" w:rsidRDefault="00680B64"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14,67%</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000000" w:fill="FFC000"/>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Línea Fútbol Calle</w:t>
            </w:r>
          </w:p>
        </w:tc>
        <w:tc>
          <w:tcPr>
            <w:tcW w:w="581" w:type="pct"/>
            <w:tcBorders>
              <w:top w:val="nil"/>
              <w:left w:val="single" w:sz="4" w:space="0" w:color="auto"/>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289.407.877</w:t>
            </w:r>
          </w:p>
        </w:tc>
        <w:tc>
          <w:tcPr>
            <w:tcW w:w="450"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0,53%</w:t>
            </w:r>
          </w:p>
        </w:tc>
        <w:tc>
          <w:tcPr>
            <w:tcW w:w="323"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7</w:t>
            </w:r>
          </w:p>
        </w:tc>
        <w:tc>
          <w:tcPr>
            <w:tcW w:w="459"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0,45%</w:t>
            </w:r>
          </w:p>
        </w:tc>
        <w:tc>
          <w:tcPr>
            <w:tcW w:w="618"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289.407.877</w:t>
            </w:r>
          </w:p>
        </w:tc>
        <w:tc>
          <w:tcPr>
            <w:tcW w:w="450"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CE5CD1">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r w:rsidR="00CE5CD1">
              <w:rPr>
                <w:rFonts w:ascii="Garamond" w:hAnsi="Garamond"/>
                <w:color w:val="000000"/>
                <w:sz w:val="18"/>
                <w:szCs w:val="18"/>
              </w:rPr>
              <w:t>0,15%</w:t>
            </w:r>
          </w:p>
        </w:tc>
        <w:tc>
          <w:tcPr>
            <w:tcW w:w="319"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7</w:t>
            </w:r>
          </w:p>
        </w:tc>
        <w:tc>
          <w:tcPr>
            <w:tcW w:w="434"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CE5CD1">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r w:rsidR="00CE5CD1">
              <w:rPr>
                <w:rFonts w:ascii="Garamond" w:hAnsi="Garamond"/>
                <w:color w:val="000000"/>
                <w:sz w:val="18"/>
                <w:szCs w:val="18"/>
              </w:rPr>
              <w:t>0,20%</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ÁREA PASARELA PEATONAL Y PUENTES</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933.276.697</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1,71%</w:t>
            </w:r>
          </w:p>
        </w:tc>
        <w:tc>
          <w:tcPr>
            <w:tcW w:w="323"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23</w:t>
            </w:r>
          </w:p>
        </w:tc>
        <w:tc>
          <w:tcPr>
            <w:tcW w:w="459" w:type="pct"/>
            <w:tcBorders>
              <w:top w:val="nil"/>
              <w:left w:val="nil"/>
              <w:bottom w:val="single" w:sz="8" w:space="0" w:color="auto"/>
              <w:right w:val="single" w:sz="8" w:space="0" w:color="auto"/>
            </w:tcBorders>
            <w:shd w:val="clear" w:color="auto" w:fill="auto"/>
            <w:noWrap/>
            <w:vAlign w:val="bottom"/>
            <w:hideMark/>
          </w:tcPr>
          <w:p w:rsidR="00C80F6C" w:rsidRPr="00057810" w:rsidRDefault="0094718D" w:rsidP="0094718D">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1,4</w:t>
            </w:r>
            <w:r w:rsidR="00EA411B" w:rsidRPr="00057810">
              <w:rPr>
                <w:rFonts w:ascii="Garamond" w:eastAsia="Times New Roman" w:hAnsi="Garamond" w:cs="Times New Roman"/>
                <w:color w:val="000000"/>
                <w:sz w:val="18"/>
                <w:szCs w:val="18"/>
                <w:lang w:eastAsia="es-CL"/>
              </w:rPr>
              <w:t>8</w:t>
            </w:r>
            <w:r w:rsidR="00C80F6C" w:rsidRPr="00057810">
              <w:rPr>
                <w:rFonts w:ascii="Garamond" w:eastAsia="Times New Roman" w:hAnsi="Garamond" w:cs="Times New Roman"/>
                <w:color w:val="000000"/>
                <w:sz w:val="18"/>
                <w:szCs w:val="18"/>
                <w:lang w:eastAsia="es-CL"/>
              </w:rPr>
              <w:t>%</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4.377.580.018</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2,32%</w:t>
            </w:r>
          </w:p>
        </w:tc>
        <w:tc>
          <w:tcPr>
            <w:tcW w:w="319"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125</w:t>
            </w:r>
          </w:p>
        </w:tc>
        <w:tc>
          <w:tcPr>
            <w:tcW w:w="434" w:type="pct"/>
            <w:tcBorders>
              <w:top w:val="nil"/>
              <w:left w:val="nil"/>
              <w:bottom w:val="single" w:sz="8" w:space="0" w:color="auto"/>
              <w:right w:val="single" w:sz="8" w:space="0" w:color="auto"/>
            </w:tcBorders>
            <w:shd w:val="clear" w:color="auto" w:fill="auto"/>
            <w:noWrap/>
            <w:vAlign w:val="bottom"/>
            <w:hideMark/>
          </w:tcPr>
          <w:p w:rsidR="00C80F6C" w:rsidRPr="00057810" w:rsidRDefault="00680B64" w:rsidP="00680B6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3,49</w:t>
            </w:r>
            <w:r w:rsidR="00C80F6C" w:rsidRPr="00057810">
              <w:rPr>
                <w:rFonts w:ascii="Garamond" w:hAnsi="Garamond"/>
                <w:color w:val="000000"/>
                <w:sz w:val="18"/>
                <w:szCs w:val="18"/>
              </w:rPr>
              <w:t>%</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000000" w:fill="FFC000"/>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Línea 100 Pasarelas</w:t>
            </w:r>
          </w:p>
        </w:tc>
        <w:tc>
          <w:tcPr>
            <w:tcW w:w="581" w:type="pct"/>
            <w:tcBorders>
              <w:top w:val="nil"/>
              <w:left w:val="single" w:sz="4" w:space="0" w:color="auto"/>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640.198.227</w:t>
            </w:r>
          </w:p>
        </w:tc>
        <w:tc>
          <w:tcPr>
            <w:tcW w:w="450"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1,17%</w:t>
            </w:r>
          </w:p>
        </w:tc>
        <w:tc>
          <w:tcPr>
            <w:tcW w:w="323"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w:t>
            </w:r>
          </w:p>
        </w:tc>
        <w:tc>
          <w:tcPr>
            <w:tcW w:w="459"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0,97%</w:t>
            </w:r>
          </w:p>
        </w:tc>
        <w:tc>
          <w:tcPr>
            <w:tcW w:w="618"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2.295.522.785</w:t>
            </w:r>
          </w:p>
        </w:tc>
        <w:tc>
          <w:tcPr>
            <w:tcW w:w="450"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CE5CD1">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r w:rsidR="00CE5CD1">
              <w:rPr>
                <w:rFonts w:ascii="Garamond" w:hAnsi="Garamond"/>
                <w:color w:val="000000"/>
                <w:sz w:val="18"/>
                <w:szCs w:val="18"/>
              </w:rPr>
              <w:t>1,22%</w:t>
            </w:r>
          </w:p>
        </w:tc>
        <w:tc>
          <w:tcPr>
            <w:tcW w:w="319"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63</w:t>
            </w:r>
          </w:p>
        </w:tc>
        <w:tc>
          <w:tcPr>
            <w:tcW w:w="434"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CE5CD1">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r w:rsidR="00CE5CD1">
              <w:rPr>
                <w:rFonts w:ascii="Garamond" w:hAnsi="Garamond"/>
                <w:color w:val="000000"/>
                <w:sz w:val="18"/>
                <w:szCs w:val="18"/>
              </w:rPr>
              <w:t>1,76%</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ÁREA PLAZA ACTIVA</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1.799.663.798</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3,30%</w:t>
            </w:r>
          </w:p>
        </w:tc>
        <w:tc>
          <w:tcPr>
            <w:tcW w:w="323"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60</w:t>
            </w:r>
          </w:p>
        </w:tc>
        <w:tc>
          <w:tcPr>
            <w:tcW w:w="459" w:type="pct"/>
            <w:tcBorders>
              <w:top w:val="nil"/>
              <w:left w:val="nil"/>
              <w:bottom w:val="single" w:sz="8" w:space="0" w:color="auto"/>
              <w:right w:val="single" w:sz="8" w:space="0" w:color="auto"/>
            </w:tcBorders>
            <w:shd w:val="clear" w:color="auto" w:fill="auto"/>
            <w:noWrap/>
            <w:vAlign w:val="bottom"/>
            <w:hideMark/>
          </w:tcPr>
          <w:p w:rsidR="00C80F6C" w:rsidRPr="00057810" w:rsidRDefault="00EA411B"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3,87</w:t>
            </w:r>
            <w:r w:rsidR="00C80F6C" w:rsidRPr="00057810">
              <w:rPr>
                <w:rFonts w:ascii="Garamond" w:eastAsia="Times New Roman" w:hAnsi="Garamond" w:cs="Times New Roman"/>
                <w:color w:val="000000"/>
                <w:sz w:val="18"/>
                <w:szCs w:val="18"/>
                <w:lang w:eastAsia="es-CL"/>
              </w:rPr>
              <w:t>%</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4.437.573.224</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2,35%</w:t>
            </w:r>
          </w:p>
        </w:tc>
        <w:tc>
          <w:tcPr>
            <w:tcW w:w="319"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141</w:t>
            </w:r>
          </w:p>
        </w:tc>
        <w:tc>
          <w:tcPr>
            <w:tcW w:w="434" w:type="pct"/>
            <w:tcBorders>
              <w:top w:val="nil"/>
              <w:left w:val="nil"/>
              <w:bottom w:val="single" w:sz="8" w:space="0" w:color="auto"/>
              <w:right w:val="single" w:sz="8" w:space="0" w:color="auto"/>
            </w:tcBorders>
            <w:shd w:val="clear" w:color="auto" w:fill="auto"/>
            <w:noWrap/>
            <w:vAlign w:val="bottom"/>
            <w:hideMark/>
          </w:tcPr>
          <w:p w:rsidR="00C80F6C" w:rsidRPr="00057810" w:rsidRDefault="00680B64"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3,93</w:t>
            </w:r>
            <w:r w:rsidR="00C80F6C" w:rsidRPr="00057810">
              <w:rPr>
                <w:rFonts w:ascii="Garamond" w:hAnsi="Garamond"/>
                <w:color w:val="000000"/>
                <w:sz w:val="18"/>
                <w:szCs w:val="18"/>
              </w:rPr>
              <w:t>%</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000000" w:fill="FFC000"/>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Línea EVS</w:t>
            </w:r>
          </w:p>
        </w:tc>
        <w:tc>
          <w:tcPr>
            <w:tcW w:w="581" w:type="pct"/>
            <w:tcBorders>
              <w:top w:val="nil"/>
              <w:left w:val="single" w:sz="4" w:space="0" w:color="auto"/>
              <w:bottom w:val="single" w:sz="8" w:space="0" w:color="auto"/>
              <w:right w:val="single" w:sz="8" w:space="0" w:color="auto"/>
            </w:tcBorders>
            <w:shd w:val="clear" w:color="000000" w:fill="FFC000"/>
            <w:noWrap/>
            <w:vAlign w:val="bottom"/>
            <w:hideMark/>
          </w:tcPr>
          <w:p w:rsidR="00C80F6C" w:rsidRPr="00057810" w:rsidRDefault="0094718D"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1.189.167.164</w:t>
            </w:r>
          </w:p>
        </w:tc>
        <w:tc>
          <w:tcPr>
            <w:tcW w:w="450"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2,18%</w:t>
            </w:r>
          </w:p>
        </w:tc>
        <w:tc>
          <w:tcPr>
            <w:tcW w:w="323"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37</w:t>
            </w:r>
          </w:p>
        </w:tc>
        <w:tc>
          <w:tcPr>
            <w:tcW w:w="459"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B11289">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r w:rsidR="00B11289">
              <w:rPr>
                <w:rFonts w:ascii="Garamond" w:eastAsia="Times New Roman" w:hAnsi="Garamond" w:cs="Times New Roman"/>
                <w:color w:val="000000"/>
                <w:sz w:val="18"/>
                <w:szCs w:val="18"/>
                <w:lang w:eastAsia="es-CL"/>
              </w:rPr>
              <w:t>2,38%</w:t>
            </w:r>
          </w:p>
        </w:tc>
        <w:tc>
          <w:tcPr>
            <w:tcW w:w="618" w:type="pct"/>
            <w:tcBorders>
              <w:top w:val="nil"/>
              <w:left w:val="nil"/>
              <w:bottom w:val="single" w:sz="8" w:space="0" w:color="auto"/>
              <w:right w:val="single" w:sz="8" w:space="0" w:color="auto"/>
            </w:tcBorders>
            <w:shd w:val="clear" w:color="000000" w:fill="FFC000"/>
            <w:noWrap/>
            <w:vAlign w:val="bottom"/>
            <w:hideMark/>
          </w:tcPr>
          <w:p w:rsidR="00C80F6C" w:rsidRPr="00057810" w:rsidRDefault="00680B64"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3.195.750.590</w:t>
            </w:r>
          </w:p>
        </w:tc>
        <w:tc>
          <w:tcPr>
            <w:tcW w:w="450"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CE5CD1">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r w:rsidR="00CE5CD1">
              <w:rPr>
                <w:rFonts w:ascii="Garamond" w:hAnsi="Garamond"/>
                <w:color w:val="000000"/>
                <w:sz w:val="18"/>
                <w:szCs w:val="18"/>
              </w:rPr>
              <w:t>1,69%</w:t>
            </w:r>
          </w:p>
        </w:tc>
        <w:tc>
          <w:tcPr>
            <w:tcW w:w="319" w:type="pct"/>
            <w:tcBorders>
              <w:top w:val="nil"/>
              <w:left w:val="nil"/>
              <w:bottom w:val="single" w:sz="8" w:space="0" w:color="auto"/>
              <w:right w:val="single" w:sz="8" w:space="0" w:color="auto"/>
            </w:tcBorders>
            <w:shd w:val="clear" w:color="000000" w:fill="FFC000"/>
            <w:noWrap/>
            <w:vAlign w:val="bottom"/>
            <w:hideMark/>
          </w:tcPr>
          <w:p w:rsidR="00C80F6C" w:rsidRPr="00057810" w:rsidRDefault="006A3030" w:rsidP="00DF7ADB">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97</w:t>
            </w:r>
          </w:p>
        </w:tc>
        <w:tc>
          <w:tcPr>
            <w:tcW w:w="434" w:type="pct"/>
            <w:tcBorders>
              <w:top w:val="nil"/>
              <w:left w:val="nil"/>
              <w:bottom w:val="single" w:sz="8" w:space="0" w:color="auto"/>
              <w:right w:val="single" w:sz="8" w:space="0" w:color="auto"/>
            </w:tcBorders>
            <w:shd w:val="clear" w:color="000000" w:fill="FFC000"/>
            <w:noWrap/>
            <w:vAlign w:val="bottom"/>
            <w:hideMark/>
          </w:tcPr>
          <w:p w:rsidR="00C80F6C" w:rsidRPr="00057810" w:rsidRDefault="00C80F6C" w:rsidP="00CE5CD1">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r w:rsidR="00CE5CD1">
              <w:rPr>
                <w:rFonts w:ascii="Garamond" w:hAnsi="Garamond"/>
                <w:color w:val="000000"/>
                <w:sz w:val="18"/>
                <w:szCs w:val="18"/>
              </w:rPr>
              <w:t>2,71%</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581" w:type="pct"/>
            <w:tcBorders>
              <w:top w:val="nil"/>
              <w:left w:val="single" w:sz="4" w:space="0" w:color="auto"/>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323"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459"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 </w:t>
            </w:r>
          </w:p>
        </w:tc>
        <w:tc>
          <w:tcPr>
            <w:tcW w:w="618"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p>
        </w:tc>
        <w:tc>
          <w:tcPr>
            <w:tcW w:w="450"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p>
        </w:tc>
        <w:tc>
          <w:tcPr>
            <w:tcW w:w="319"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p>
        </w:tc>
        <w:tc>
          <w:tcPr>
            <w:tcW w:w="434" w:type="pct"/>
            <w:tcBorders>
              <w:top w:val="nil"/>
              <w:left w:val="nil"/>
              <w:bottom w:val="single" w:sz="8" w:space="0" w:color="auto"/>
              <w:right w:val="single" w:sz="8" w:space="0" w:color="auto"/>
            </w:tcBorders>
            <w:shd w:val="clear" w:color="auto" w:fill="auto"/>
            <w:noWrap/>
            <w:vAlign w:val="bottom"/>
            <w:hideMark/>
          </w:tcPr>
          <w:p w:rsidR="00C80F6C" w:rsidRPr="00057810" w:rsidRDefault="00C80F6C" w:rsidP="00DF7ADB">
            <w:pPr>
              <w:spacing w:after="0" w:line="240" w:lineRule="auto"/>
              <w:rPr>
                <w:rFonts w:ascii="Garamond" w:eastAsia="Times New Roman" w:hAnsi="Garamond" w:cs="Times New Roman"/>
                <w:color w:val="000000"/>
                <w:sz w:val="18"/>
                <w:szCs w:val="18"/>
                <w:lang w:eastAsia="es-CL"/>
              </w:rPr>
            </w:pPr>
            <w:r w:rsidRPr="00057810">
              <w:rPr>
                <w:rFonts w:ascii="Garamond" w:hAnsi="Garamond"/>
                <w:color w:val="000000"/>
                <w:sz w:val="18"/>
                <w:szCs w:val="18"/>
              </w:rPr>
              <w:t> </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000000" w:fill="D99594"/>
            <w:noWrap/>
            <w:vAlign w:val="bottom"/>
            <w:hideMark/>
          </w:tcPr>
          <w:p w:rsidR="003F23F4" w:rsidRPr="00057810" w:rsidRDefault="003F23F4" w:rsidP="003F23F4">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TOTAL CARTERA PMU (21 ÁREAS DE INVERSIÓN, INCLUYENDO LÍNEAS MODULARES)</w:t>
            </w:r>
          </w:p>
        </w:tc>
        <w:tc>
          <w:tcPr>
            <w:tcW w:w="581" w:type="pct"/>
            <w:tcBorders>
              <w:top w:val="nil"/>
              <w:left w:val="single" w:sz="4" w:space="0" w:color="auto"/>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54.588.566.907</w:t>
            </w:r>
          </w:p>
        </w:tc>
        <w:tc>
          <w:tcPr>
            <w:tcW w:w="450"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w:t>
            </w:r>
          </w:p>
        </w:tc>
        <w:tc>
          <w:tcPr>
            <w:tcW w:w="323"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1.552</w:t>
            </w:r>
          </w:p>
        </w:tc>
        <w:tc>
          <w:tcPr>
            <w:tcW w:w="459"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100,00%</w:t>
            </w:r>
          </w:p>
        </w:tc>
        <w:tc>
          <w:tcPr>
            <w:tcW w:w="618"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188.682.967.172</w:t>
            </w:r>
          </w:p>
        </w:tc>
        <w:tc>
          <w:tcPr>
            <w:tcW w:w="450"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100%</w:t>
            </w:r>
          </w:p>
        </w:tc>
        <w:tc>
          <w:tcPr>
            <w:tcW w:w="319"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3.585</w:t>
            </w:r>
          </w:p>
        </w:tc>
        <w:tc>
          <w:tcPr>
            <w:tcW w:w="434"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100,00%</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000000" w:fill="D99594"/>
            <w:noWrap/>
            <w:vAlign w:val="bottom"/>
            <w:hideMark/>
          </w:tcPr>
          <w:p w:rsidR="003F23F4" w:rsidRPr="00057810" w:rsidRDefault="003F23F4">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PARTICIP DE 3 ÁREAS DE INVERSIÓN EN CARTERA TOTAL</w:t>
            </w:r>
          </w:p>
        </w:tc>
        <w:tc>
          <w:tcPr>
            <w:tcW w:w="581" w:type="pct"/>
            <w:tcBorders>
              <w:top w:val="nil"/>
              <w:left w:val="single" w:sz="4" w:space="0" w:color="auto"/>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9.330.468.242</w:t>
            </w:r>
          </w:p>
        </w:tc>
        <w:tc>
          <w:tcPr>
            <w:tcW w:w="450"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17,09%</w:t>
            </w:r>
          </w:p>
        </w:tc>
        <w:tc>
          <w:tcPr>
            <w:tcW w:w="323"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253</w:t>
            </w:r>
          </w:p>
        </w:tc>
        <w:tc>
          <w:tcPr>
            <w:tcW w:w="459"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16,30%</w:t>
            </w:r>
          </w:p>
        </w:tc>
        <w:tc>
          <w:tcPr>
            <w:tcW w:w="618"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28.324.455.270</w:t>
            </w:r>
          </w:p>
        </w:tc>
        <w:tc>
          <w:tcPr>
            <w:tcW w:w="450"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15,01%</w:t>
            </w:r>
          </w:p>
        </w:tc>
        <w:tc>
          <w:tcPr>
            <w:tcW w:w="319" w:type="pct"/>
            <w:tcBorders>
              <w:top w:val="nil"/>
              <w:left w:val="nil"/>
              <w:bottom w:val="single" w:sz="8" w:space="0" w:color="auto"/>
              <w:right w:val="single" w:sz="8" w:space="0" w:color="auto"/>
            </w:tcBorders>
            <w:shd w:val="clear" w:color="000000" w:fill="D99594"/>
            <w:noWrap/>
            <w:vAlign w:val="bottom"/>
            <w:hideMark/>
          </w:tcPr>
          <w:p w:rsidR="003F23F4" w:rsidRPr="00057810" w:rsidRDefault="002C14B3"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792</w:t>
            </w:r>
          </w:p>
        </w:tc>
        <w:tc>
          <w:tcPr>
            <w:tcW w:w="434" w:type="pct"/>
            <w:tcBorders>
              <w:top w:val="nil"/>
              <w:left w:val="nil"/>
              <w:bottom w:val="single" w:sz="8" w:space="0" w:color="auto"/>
              <w:right w:val="single" w:sz="8" w:space="0" w:color="auto"/>
            </w:tcBorders>
            <w:shd w:val="clear" w:color="000000" w:fill="D99594"/>
            <w:noWrap/>
            <w:vAlign w:val="bottom"/>
            <w:hideMark/>
          </w:tcPr>
          <w:p w:rsidR="003F23F4" w:rsidRPr="00057810" w:rsidRDefault="002C14B3"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22,09</w:t>
            </w:r>
            <w:r w:rsidR="003F23F4" w:rsidRPr="00057810">
              <w:rPr>
                <w:rFonts w:ascii="Garamond" w:hAnsi="Garamond"/>
                <w:color w:val="000000"/>
                <w:sz w:val="18"/>
                <w:szCs w:val="18"/>
              </w:rPr>
              <w:t>%</w:t>
            </w:r>
          </w:p>
        </w:tc>
      </w:tr>
      <w:tr w:rsidR="00057810" w:rsidRPr="00057810" w:rsidTr="005116EB">
        <w:trPr>
          <w:jc w:val="center"/>
        </w:trPr>
        <w:tc>
          <w:tcPr>
            <w:tcW w:w="1366" w:type="pct"/>
            <w:tcBorders>
              <w:top w:val="nil"/>
              <w:left w:val="single" w:sz="8" w:space="0" w:color="auto"/>
              <w:bottom w:val="single" w:sz="8" w:space="0" w:color="auto"/>
              <w:right w:val="single" w:sz="4" w:space="0" w:color="auto"/>
            </w:tcBorders>
            <w:shd w:val="clear" w:color="000000" w:fill="D99594"/>
            <w:noWrap/>
            <w:vAlign w:val="bottom"/>
            <w:hideMark/>
          </w:tcPr>
          <w:p w:rsidR="003F23F4" w:rsidRPr="00057810" w:rsidRDefault="003F23F4" w:rsidP="003F23F4">
            <w:pPr>
              <w:spacing w:after="0" w:line="240" w:lineRule="auto"/>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PARTICIP DE 3 LÍNEAS MODULARES EN CARTERA TOTAL</w:t>
            </w:r>
          </w:p>
        </w:tc>
        <w:tc>
          <w:tcPr>
            <w:tcW w:w="581" w:type="pct"/>
            <w:tcBorders>
              <w:top w:val="nil"/>
              <w:left w:val="single" w:sz="4" w:space="0" w:color="auto"/>
              <w:bottom w:val="single" w:sz="8" w:space="0" w:color="auto"/>
              <w:right w:val="single" w:sz="8" w:space="0" w:color="auto"/>
            </w:tcBorders>
            <w:shd w:val="clear" w:color="000000" w:fill="D99594"/>
            <w:noWrap/>
            <w:vAlign w:val="bottom"/>
            <w:hideMark/>
          </w:tcPr>
          <w:p w:rsidR="003F23F4" w:rsidRPr="00057810" w:rsidRDefault="0094718D"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2.118.773.268</w:t>
            </w:r>
          </w:p>
        </w:tc>
        <w:tc>
          <w:tcPr>
            <w:tcW w:w="450" w:type="pct"/>
            <w:tcBorders>
              <w:top w:val="nil"/>
              <w:left w:val="nil"/>
              <w:bottom w:val="single" w:sz="8" w:space="0" w:color="auto"/>
              <w:right w:val="single" w:sz="8" w:space="0" w:color="auto"/>
            </w:tcBorders>
            <w:shd w:val="clear" w:color="000000" w:fill="D99594"/>
            <w:noWrap/>
            <w:vAlign w:val="bottom"/>
            <w:hideMark/>
          </w:tcPr>
          <w:p w:rsidR="003F23F4" w:rsidRPr="00057810" w:rsidRDefault="00680B6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3,88%</w:t>
            </w:r>
          </w:p>
        </w:tc>
        <w:tc>
          <w:tcPr>
            <w:tcW w:w="323"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59</w:t>
            </w:r>
          </w:p>
        </w:tc>
        <w:tc>
          <w:tcPr>
            <w:tcW w:w="459" w:type="pct"/>
            <w:tcBorders>
              <w:top w:val="nil"/>
              <w:left w:val="nil"/>
              <w:bottom w:val="single" w:sz="8" w:space="0" w:color="auto"/>
              <w:right w:val="single" w:sz="8" w:space="0" w:color="auto"/>
            </w:tcBorders>
            <w:shd w:val="clear" w:color="000000" w:fill="D99594"/>
            <w:noWrap/>
            <w:vAlign w:val="bottom"/>
            <w:hideMark/>
          </w:tcPr>
          <w:p w:rsidR="003F23F4" w:rsidRPr="00057810" w:rsidRDefault="003F23F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eastAsia="Times New Roman" w:hAnsi="Garamond" w:cs="Times New Roman"/>
                <w:color w:val="000000"/>
                <w:sz w:val="18"/>
                <w:szCs w:val="18"/>
                <w:lang w:eastAsia="es-CL"/>
              </w:rPr>
              <w:t>3,80%</w:t>
            </w:r>
          </w:p>
        </w:tc>
        <w:tc>
          <w:tcPr>
            <w:tcW w:w="618" w:type="pct"/>
            <w:tcBorders>
              <w:top w:val="nil"/>
              <w:left w:val="nil"/>
              <w:bottom w:val="single" w:sz="8" w:space="0" w:color="auto"/>
              <w:right w:val="single" w:sz="8" w:space="0" w:color="auto"/>
            </w:tcBorders>
            <w:shd w:val="clear" w:color="000000" w:fill="D99594"/>
            <w:noWrap/>
            <w:vAlign w:val="bottom"/>
            <w:hideMark/>
          </w:tcPr>
          <w:p w:rsidR="003F23F4" w:rsidRPr="00057810" w:rsidRDefault="00680B64"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5.780.681.252</w:t>
            </w:r>
          </w:p>
        </w:tc>
        <w:tc>
          <w:tcPr>
            <w:tcW w:w="450" w:type="pct"/>
            <w:tcBorders>
              <w:top w:val="nil"/>
              <w:left w:val="nil"/>
              <w:bottom w:val="single" w:sz="8" w:space="0" w:color="auto"/>
              <w:right w:val="single" w:sz="8" w:space="0" w:color="auto"/>
            </w:tcBorders>
            <w:shd w:val="clear" w:color="000000" w:fill="D99594"/>
            <w:noWrap/>
            <w:vAlign w:val="bottom"/>
            <w:hideMark/>
          </w:tcPr>
          <w:p w:rsidR="003F23F4" w:rsidRPr="00057810" w:rsidRDefault="002C14B3" w:rsidP="00680B6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3,0</w:t>
            </w:r>
            <w:r w:rsidR="00680B64" w:rsidRPr="00057810">
              <w:rPr>
                <w:rFonts w:ascii="Garamond" w:hAnsi="Garamond"/>
                <w:color w:val="000000"/>
                <w:sz w:val="18"/>
                <w:szCs w:val="18"/>
              </w:rPr>
              <w:t>6</w:t>
            </w:r>
            <w:r w:rsidR="003F23F4" w:rsidRPr="00057810">
              <w:rPr>
                <w:rFonts w:ascii="Garamond" w:hAnsi="Garamond"/>
                <w:color w:val="000000"/>
                <w:sz w:val="18"/>
                <w:szCs w:val="18"/>
              </w:rPr>
              <w:t>%</w:t>
            </w:r>
          </w:p>
        </w:tc>
        <w:tc>
          <w:tcPr>
            <w:tcW w:w="319" w:type="pct"/>
            <w:tcBorders>
              <w:top w:val="nil"/>
              <w:left w:val="nil"/>
              <w:bottom w:val="single" w:sz="8" w:space="0" w:color="auto"/>
              <w:right w:val="single" w:sz="8" w:space="0" w:color="auto"/>
            </w:tcBorders>
            <w:shd w:val="clear" w:color="000000" w:fill="D99594"/>
            <w:noWrap/>
            <w:vAlign w:val="bottom"/>
            <w:hideMark/>
          </w:tcPr>
          <w:p w:rsidR="003F23F4" w:rsidRPr="00057810" w:rsidRDefault="002C14B3"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167</w:t>
            </w:r>
          </w:p>
        </w:tc>
        <w:tc>
          <w:tcPr>
            <w:tcW w:w="434" w:type="pct"/>
            <w:tcBorders>
              <w:top w:val="nil"/>
              <w:left w:val="nil"/>
              <w:bottom w:val="single" w:sz="8" w:space="0" w:color="auto"/>
              <w:right w:val="single" w:sz="8" w:space="0" w:color="auto"/>
            </w:tcBorders>
            <w:shd w:val="clear" w:color="000000" w:fill="D99594"/>
            <w:noWrap/>
            <w:vAlign w:val="bottom"/>
            <w:hideMark/>
          </w:tcPr>
          <w:p w:rsidR="003F23F4" w:rsidRPr="00057810" w:rsidRDefault="002C14B3" w:rsidP="003F23F4">
            <w:pPr>
              <w:spacing w:after="0" w:line="240" w:lineRule="auto"/>
              <w:jc w:val="right"/>
              <w:rPr>
                <w:rFonts w:ascii="Garamond" w:eastAsia="Times New Roman" w:hAnsi="Garamond" w:cs="Times New Roman"/>
                <w:color w:val="000000"/>
                <w:sz w:val="18"/>
                <w:szCs w:val="18"/>
                <w:lang w:eastAsia="es-CL"/>
              </w:rPr>
            </w:pPr>
            <w:r w:rsidRPr="00057810">
              <w:rPr>
                <w:rFonts w:ascii="Garamond" w:hAnsi="Garamond"/>
                <w:color w:val="000000"/>
                <w:sz w:val="18"/>
                <w:szCs w:val="18"/>
              </w:rPr>
              <w:t>4,66%</w:t>
            </w:r>
          </w:p>
        </w:tc>
      </w:tr>
    </w:tbl>
    <w:p w:rsidR="00C34222" w:rsidRPr="00F111CA" w:rsidRDefault="00C34222" w:rsidP="004547D3">
      <w:pPr>
        <w:spacing w:after="120" w:line="240" w:lineRule="auto"/>
        <w:jc w:val="both"/>
        <w:rPr>
          <w:rFonts w:ascii="Garamond" w:hAnsi="Garamond"/>
        </w:rPr>
      </w:pPr>
    </w:p>
    <w:p w:rsidR="004A5061" w:rsidRPr="00F111CA" w:rsidRDefault="004A5061" w:rsidP="004547D3">
      <w:pPr>
        <w:spacing w:after="120" w:line="240" w:lineRule="auto"/>
        <w:jc w:val="both"/>
        <w:rPr>
          <w:rFonts w:ascii="Garamond" w:hAnsi="Garamond"/>
        </w:rPr>
      </w:pPr>
      <w:r w:rsidRPr="00F111CA">
        <w:rPr>
          <w:rFonts w:ascii="Garamond" w:hAnsi="Garamond"/>
        </w:rPr>
        <w:lastRenderedPageBreak/>
        <w:t xml:space="preserve">El Área porcentualmente más importante de las </w:t>
      </w:r>
      <w:r w:rsidR="003F23F4" w:rsidRPr="00F111CA">
        <w:rPr>
          <w:rFonts w:ascii="Garamond" w:hAnsi="Garamond"/>
        </w:rPr>
        <w:t>tres</w:t>
      </w:r>
      <w:r w:rsidRPr="00F111CA">
        <w:rPr>
          <w:rFonts w:ascii="Garamond" w:hAnsi="Garamond"/>
        </w:rPr>
        <w:t xml:space="preserve">, </w:t>
      </w:r>
      <w:r w:rsidR="006C6F42" w:rsidRPr="00F111CA">
        <w:rPr>
          <w:rFonts w:ascii="Garamond" w:hAnsi="Garamond"/>
        </w:rPr>
        <w:t xml:space="preserve">Construcción y </w:t>
      </w:r>
      <w:r w:rsidR="00D16783" w:rsidRPr="00F111CA">
        <w:rPr>
          <w:rFonts w:ascii="Garamond" w:hAnsi="Garamond"/>
        </w:rPr>
        <w:t>M</w:t>
      </w:r>
      <w:r w:rsidR="006C6F42" w:rsidRPr="00F111CA">
        <w:rPr>
          <w:rFonts w:ascii="Garamond" w:hAnsi="Garamond"/>
        </w:rPr>
        <w:t xml:space="preserve">ejoramiento de </w:t>
      </w:r>
      <w:r w:rsidR="00D16783" w:rsidRPr="00F111CA">
        <w:rPr>
          <w:rFonts w:ascii="Garamond" w:hAnsi="Garamond"/>
        </w:rPr>
        <w:t>C</w:t>
      </w:r>
      <w:r w:rsidR="006C6F42" w:rsidRPr="00F111CA">
        <w:rPr>
          <w:rFonts w:ascii="Garamond" w:hAnsi="Garamond"/>
        </w:rPr>
        <w:t xml:space="preserve">anchas </w:t>
      </w:r>
      <w:r w:rsidR="00D16783" w:rsidRPr="00F111CA">
        <w:rPr>
          <w:rFonts w:ascii="Garamond" w:hAnsi="Garamond"/>
        </w:rPr>
        <w:t>D</w:t>
      </w:r>
      <w:r w:rsidR="006C6F42" w:rsidRPr="00F111CA">
        <w:rPr>
          <w:rFonts w:ascii="Garamond" w:hAnsi="Garamond"/>
        </w:rPr>
        <w:t>eportivas</w:t>
      </w:r>
      <w:r w:rsidRPr="00F111CA">
        <w:rPr>
          <w:rFonts w:ascii="Garamond" w:hAnsi="Garamond"/>
        </w:rPr>
        <w:t xml:space="preserve">, representa alrededor de un </w:t>
      </w:r>
      <w:r w:rsidR="00FB588F" w:rsidRPr="00F111CA">
        <w:rPr>
          <w:rFonts w:ascii="Garamond" w:hAnsi="Garamond"/>
        </w:rPr>
        <w:t xml:space="preserve">10 </w:t>
      </w:r>
      <w:r w:rsidRPr="00F111CA">
        <w:rPr>
          <w:rFonts w:ascii="Garamond" w:hAnsi="Garamond"/>
        </w:rPr>
        <w:t xml:space="preserve">% del total de la cartera financiada, sin grandes variaciones porcentuales en el </w:t>
      </w:r>
      <w:r w:rsidR="006C6F42" w:rsidRPr="00F111CA">
        <w:rPr>
          <w:rFonts w:ascii="Garamond" w:hAnsi="Garamond"/>
        </w:rPr>
        <w:t>trienio</w:t>
      </w:r>
      <w:r w:rsidRPr="00F111CA">
        <w:rPr>
          <w:rFonts w:ascii="Garamond" w:hAnsi="Garamond"/>
        </w:rPr>
        <w:t xml:space="preserve">, acumulando $ </w:t>
      </w:r>
      <w:r w:rsidR="006C6F42" w:rsidRPr="00F111CA">
        <w:rPr>
          <w:rFonts w:ascii="Garamond" w:hAnsi="Garamond"/>
        </w:rPr>
        <w:t>19.509.302.028</w:t>
      </w:r>
      <w:r w:rsidRPr="00F111CA">
        <w:rPr>
          <w:rFonts w:ascii="Garamond" w:hAnsi="Garamond"/>
        </w:rPr>
        <w:t>.</w:t>
      </w:r>
      <w:r w:rsidR="003F23F4" w:rsidRPr="00F111CA">
        <w:rPr>
          <w:rFonts w:ascii="Garamond" w:hAnsi="Garamond"/>
        </w:rPr>
        <w:t xml:space="preserve"> </w:t>
      </w:r>
      <w:r w:rsidRPr="00F111CA">
        <w:rPr>
          <w:rFonts w:ascii="Garamond" w:hAnsi="Garamond"/>
        </w:rPr>
        <w:t xml:space="preserve">La Línea relacionada, Fútbol Calle, sólo acumula 7 proyectos financiados </w:t>
      </w:r>
      <w:r w:rsidR="00FB588F" w:rsidRPr="00F111CA">
        <w:rPr>
          <w:rFonts w:ascii="Garamond" w:hAnsi="Garamond"/>
        </w:rPr>
        <w:t xml:space="preserve">durante el </w:t>
      </w:r>
      <w:r w:rsidR="003F23F4" w:rsidRPr="00F111CA">
        <w:rPr>
          <w:rFonts w:ascii="Garamond" w:hAnsi="Garamond"/>
        </w:rPr>
        <w:t xml:space="preserve">trienio </w:t>
      </w:r>
      <w:r w:rsidRPr="00F111CA">
        <w:rPr>
          <w:rFonts w:ascii="Garamond" w:hAnsi="Garamond"/>
        </w:rPr>
        <w:t xml:space="preserve">(todos ellos de 2013), con una inversión de $ 289.407.877, sólo poco más del </w:t>
      </w:r>
      <w:r w:rsidR="00680B64" w:rsidRPr="00F111CA">
        <w:rPr>
          <w:rFonts w:ascii="Garamond" w:hAnsi="Garamond"/>
        </w:rPr>
        <w:t>1</w:t>
      </w:r>
      <w:r w:rsidR="00FB588F" w:rsidRPr="00F111CA">
        <w:rPr>
          <w:rFonts w:ascii="Garamond" w:hAnsi="Garamond"/>
        </w:rPr>
        <w:t>,4</w:t>
      </w:r>
      <w:r w:rsidR="00680B64" w:rsidRPr="00F111CA">
        <w:rPr>
          <w:rFonts w:ascii="Garamond" w:hAnsi="Garamond"/>
        </w:rPr>
        <w:t>8</w:t>
      </w:r>
      <w:r w:rsidR="00FB588F" w:rsidRPr="00F111CA">
        <w:rPr>
          <w:rFonts w:ascii="Garamond" w:hAnsi="Garamond"/>
        </w:rPr>
        <w:t xml:space="preserve"> </w:t>
      </w:r>
      <w:r w:rsidRPr="00F111CA">
        <w:rPr>
          <w:rFonts w:ascii="Garamond" w:hAnsi="Garamond"/>
        </w:rPr>
        <w:t xml:space="preserve">% de </w:t>
      </w:r>
      <w:r w:rsidR="00054434" w:rsidRPr="00F111CA">
        <w:rPr>
          <w:rFonts w:ascii="Garamond" w:hAnsi="Garamond"/>
        </w:rPr>
        <w:t>lo financiado en el Área</w:t>
      </w:r>
      <w:r w:rsidR="00D16783" w:rsidRPr="00F111CA">
        <w:rPr>
          <w:rFonts w:ascii="Garamond" w:hAnsi="Garamond"/>
        </w:rPr>
        <w:t xml:space="preserve"> Construcción y M</w:t>
      </w:r>
      <w:r w:rsidR="003F23F4" w:rsidRPr="00F111CA">
        <w:rPr>
          <w:rFonts w:ascii="Garamond" w:hAnsi="Garamond"/>
        </w:rPr>
        <w:t xml:space="preserve">ejoramiento de </w:t>
      </w:r>
      <w:r w:rsidR="00D16783" w:rsidRPr="00F111CA">
        <w:rPr>
          <w:rFonts w:ascii="Garamond" w:hAnsi="Garamond"/>
        </w:rPr>
        <w:t>C</w:t>
      </w:r>
      <w:r w:rsidR="003F23F4" w:rsidRPr="00F111CA">
        <w:rPr>
          <w:rFonts w:ascii="Garamond" w:hAnsi="Garamond"/>
        </w:rPr>
        <w:t xml:space="preserve">anchas </w:t>
      </w:r>
      <w:r w:rsidR="00D16783" w:rsidRPr="00F111CA">
        <w:rPr>
          <w:rFonts w:ascii="Garamond" w:hAnsi="Garamond"/>
        </w:rPr>
        <w:t>D</w:t>
      </w:r>
      <w:r w:rsidR="003F23F4" w:rsidRPr="00F111CA">
        <w:rPr>
          <w:rFonts w:ascii="Garamond" w:hAnsi="Garamond"/>
        </w:rPr>
        <w:t>eportivas</w:t>
      </w:r>
      <w:r w:rsidR="00054434" w:rsidRPr="00F111CA">
        <w:rPr>
          <w:rFonts w:ascii="Garamond" w:hAnsi="Garamond"/>
        </w:rPr>
        <w:t>.</w:t>
      </w:r>
    </w:p>
    <w:p w:rsidR="00D16783" w:rsidRPr="00F111CA" w:rsidRDefault="00D16783" w:rsidP="004547D3">
      <w:pPr>
        <w:spacing w:after="120" w:line="240" w:lineRule="auto"/>
        <w:jc w:val="both"/>
        <w:rPr>
          <w:rFonts w:ascii="Garamond" w:hAnsi="Garamond"/>
        </w:rPr>
      </w:pPr>
      <w:r w:rsidRPr="00F111CA">
        <w:rPr>
          <w:rFonts w:ascii="Garamond" w:hAnsi="Garamond"/>
        </w:rPr>
        <w:t>Esto es que, aunque el Área Canchas Deportivas es importante en la cartera total de inversión PMU, la Línea Modular Fútbol Calle tiene en ella una participación marginal. Hay que tener presente que el “pareo” es impreciso, por lo que esta última observación está lejos de ser concluyente y corresponde más bien a una hipótesis, sin perjuicio de lo cual no es nada irrelevante que sólo haya 7 proyectos en Fútbol Calle, apenas un 0,2 % de una cartera PMU total de 3.585 proyectos</w:t>
      </w:r>
      <w:r w:rsidR="00A45BD4" w:rsidRPr="00F111CA">
        <w:rPr>
          <w:rFonts w:ascii="Garamond" w:hAnsi="Garamond"/>
        </w:rPr>
        <w:t>.</w:t>
      </w:r>
    </w:p>
    <w:p w:rsidR="009A70A8" w:rsidRPr="00F111CA" w:rsidRDefault="00054434" w:rsidP="004547D3">
      <w:pPr>
        <w:spacing w:after="120" w:line="240" w:lineRule="auto"/>
        <w:jc w:val="both"/>
        <w:rPr>
          <w:rFonts w:ascii="Garamond" w:hAnsi="Garamond"/>
        </w:rPr>
      </w:pPr>
      <w:r w:rsidRPr="00F111CA">
        <w:rPr>
          <w:rFonts w:ascii="Garamond" w:hAnsi="Garamond"/>
        </w:rPr>
        <w:t xml:space="preserve">En el Área </w:t>
      </w:r>
      <w:r w:rsidR="00274AFD" w:rsidRPr="00F111CA">
        <w:rPr>
          <w:rFonts w:ascii="Garamond" w:hAnsi="Garamond"/>
        </w:rPr>
        <w:t>Plaza</w:t>
      </w:r>
      <w:r w:rsidR="00542498" w:rsidRPr="00F111CA">
        <w:rPr>
          <w:rFonts w:ascii="Garamond" w:hAnsi="Garamond"/>
        </w:rPr>
        <w:t>s</w:t>
      </w:r>
      <w:r w:rsidR="00274AFD" w:rsidRPr="00F111CA">
        <w:rPr>
          <w:rFonts w:ascii="Garamond" w:hAnsi="Garamond"/>
        </w:rPr>
        <w:t xml:space="preserve"> Activa</w:t>
      </w:r>
      <w:r w:rsidR="00542498" w:rsidRPr="00F111CA">
        <w:rPr>
          <w:rFonts w:ascii="Garamond" w:hAnsi="Garamond"/>
        </w:rPr>
        <w:t>s</w:t>
      </w:r>
      <w:r w:rsidR="00274AFD" w:rsidRPr="00F111CA">
        <w:rPr>
          <w:rFonts w:ascii="Garamond" w:hAnsi="Garamond"/>
        </w:rPr>
        <w:t xml:space="preserve"> </w:t>
      </w:r>
      <w:r w:rsidR="00542498" w:rsidRPr="00F111CA">
        <w:rPr>
          <w:rFonts w:ascii="Garamond" w:hAnsi="Garamond"/>
        </w:rPr>
        <w:t>hay un aumento</w:t>
      </w:r>
      <w:r w:rsidR="00FB588F" w:rsidRPr="00F111CA">
        <w:rPr>
          <w:rFonts w:ascii="Garamond" w:hAnsi="Garamond"/>
        </w:rPr>
        <w:t xml:space="preserve"> de los proyectos financiados</w:t>
      </w:r>
      <w:r w:rsidR="004A5061" w:rsidRPr="00F111CA">
        <w:rPr>
          <w:rFonts w:ascii="Garamond" w:hAnsi="Garamond"/>
        </w:rPr>
        <w:t xml:space="preserve">, que va de los </w:t>
      </w:r>
      <w:r w:rsidR="009A70A8" w:rsidRPr="00F111CA">
        <w:rPr>
          <w:rFonts w:ascii="Garamond" w:hAnsi="Garamond"/>
        </w:rPr>
        <w:t xml:space="preserve">$ </w:t>
      </w:r>
      <w:r w:rsidR="00542498" w:rsidRPr="00F111CA">
        <w:rPr>
          <w:rFonts w:ascii="Garamond" w:hAnsi="Garamond"/>
        </w:rPr>
        <w:t xml:space="preserve">589.432.000 </w:t>
      </w:r>
      <w:r w:rsidR="00FD1C80" w:rsidRPr="00F111CA">
        <w:rPr>
          <w:rFonts w:ascii="Garamond" w:hAnsi="Garamond"/>
        </w:rPr>
        <w:t>en 201</w:t>
      </w:r>
      <w:r w:rsidR="00542498" w:rsidRPr="00F111CA">
        <w:rPr>
          <w:rFonts w:ascii="Garamond" w:hAnsi="Garamond"/>
        </w:rPr>
        <w:t>1, lo que representa un 0,89% de la cartera</w:t>
      </w:r>
      <w:r w:rsidR="009A70A8" w:rsidRPr="00F111CA">
        <w:rPr>
          <w:rFonts w:ascii="Garamond" w:hAnsi="Garamond"/>
        </w:rPr>
        <w:t xml:space="preserve">, a los $ </w:t>
      </w:r>
      <w:r w:rsidR="00542498" w:rsidRPr="00F111CA">
        <w:rPr>
          <w:rFonts w:ascii="Garamond" w:hAnsi="Garamond"/>
        </w:rPr>
        <w:t xml:space="preserve">1.799.663.798 </w:t>
      </w:r>
      <w:r w:rsidR="009A70A8" w:rsidRPr="00F111CA">
        <w:rPr>
          <w:rFonts w:ascii="Garamond" w:hAnsi="Garamond"/>
        </w:rPr>
        <w:t xml:space="preserve">en </w:t>
      </w:r>
      <w:r w:rsidR="00FB588F" w:rsidRPr="00F111CA">
        <w:rPr>
          <w:rFonts w:ascii="Garamond" w:hAnsi="Garamond"/>
        </w:rPr>
        <w:t>201</w:t>
      </w:r>
      <w:r w:rsidR="00542498" w:rsidRPr="00F111CA">
        <w:rPr>
          <w:rFonts w:ascii="Garamond" w:hAnsi="Garamond"/>
        </w:rPr>
        <w:t>3</w:t>
      </w:r>
      <w:r w:rsidR="00FB588F" w:rsidRPr="00F111CA">
        <w:rPr>
          <w:rFonts w:ascii="Garamond" w:hAnsi="Garamond"/>
        </w:rPr>
        <w:t xml:space="preserve">, lo cual representa un </w:t>
      </w:r>
      <w:r w:rsidR="009A3B12" w:rsidRPr="00F111CA">
        <w:rPr>
          <w:rFonts w:ascii="Garamond" w:hAnsi="Garamond"/>
        </w:rPr>
        <w:t>3,30</w:t>
      </w:r>
      <w:r w:rsidR="009A70A8" w:rsidRPr="00F111CA">
        <w:rPr>
          <w:rFonts w:ascii="Garamond" w:hAnsi="Garamond"/>
        </w:rPr>
        <w:t xml:space="preserve"> % de la cartera de inversión efectiva del Programa.</w:t>
      </w:r>
      <w:r w:rsidR="003F23F4" w:rsidRPr="00F111CA">
        <w:rPr>
          <w:rFonts w:ascii="Garamond" w:hAnsi="Garamond"/>
        </w:rPr>
        <w:t xml:space="preserve"> </w:t>
      </w:r>
      <w:r w:rsidR="009A70A8" w:rsidRPr="00F111CA">
        <w:rPr>
          <w:rFonts w:ascii="Garamond" w:hAnsi="Garamond"/>
        </w:rPr>
        <w:t xml:space="preserve">El financiamiento en la Línea EVS también </w:t>
      </w:r>
      <w:r w:rsidR="00542498" w:rsidRPr="00F111CA">
        <w:rPr>
          <w:rFonts w:ascii="Garamond" w:hAnsi="Garamond"/>
        </w:rPr>
        <w:t>aumenta</w:t>
      </w:r>
      <w:r w:rsidR="009A70A8" w:rsidRPr="00F111CA">
        <w:rPr>
          <w:rFonts w:ascii="Garamond" w:hAnsi="Garamond"/>
        </w:rPr>
        <w:t xml:space="preserve">, pasando de </w:t>
      </w:r>
      <w:r w:rsidR="00542498" w:rsidRPr="00F111CA">
        <w:rPr>
          <w:rFonts w:ascii="Garamond" w:hAnsi="Garamond"/>
        </w:rPr>
        <w:t xml:space="preserve">$ 0 </w:t>
      </w:r>
      <w:r w:rsidR="009A70A8" w:rsidRPr="00F111CA">
        <w:rPr>
          <w:rFonts w:ascii="Garamond" w:hAnsi="Garamond"/>
        </w:rPr>
        <w:t>en 201</w:t>
      </w:r>
      <w:r w:rsidR="00542498" w:rsidRPr="00F111CA">
        <w:rPr>
          <w:rFonts w:ascii="Garamond" w:hAnsi="Garamond"/>
        </w:rPr>
        <w:t>1</w:t>
      </w:r>
      <w:r w:rsidR="009A70A8" w:rsidRPr="00F111CA">
        <w:rPr>
          <w:rFonts w:ascii="Garamond" w:hAnsi="Garamond"/>
        </w:rPr>
        <w:t xml:space="preserve"> a $ </w:t>
      </w:r>
      <w:r w:rsidR="00542498" w:rsidRPr="00F111CA">
        <w:rPr>
          <w:rFonts w:ascii="Garamond" w:hAnsi="Garamond"/>
        </w:rPr>
        <w:t>1.</w:t>
      </w:r>
      <w:r w:rsidR="009A3B12" w:rsidRPr="00F111CA">
        <w:rPr>
          <w:rFonts w:ascii="Garamond" w:hAnsi="Garamond"/>
        </w:rPr>
        <w:t>189.167.164</w:t>
      </w:r>
      <w:r w:rsidR="00542498" w:rsidRPr="00F111CA">
        <w:rPr>
          <w:rFonts w:ascii="Garamond" w:hAnsi="Garamond"/>
        </w:rPr>
        <w:t xml:space="preserve"> </w:t>
      </w:r>
      <w:r w:rsidR="009A70A8" w:rsidRPr="00F111CA">
        <w:rPr>
          <w:rFonts w:ascii="Garamond" w:hAnsi="Garamond"/>
        </w:rPr>
        <w:t>en 201</w:t>
      </w:r>
      <w:r w:rsidR="00542498" w:rsidRPr="00F111CA">
        <w:rPr>
          <w:rFonts w:ascii="Garamond" w:hAnsi="Garamond"/>
        </w:rPr>
        <w:t>3</w:t>
      </w:r>
      <w:r w:rsidR="009A70A8" w:rsidRPr="00F111CA">
        <w:rPr>
          <w:rFonts w:ascii="Garamond" w:hAnsi="Garamond"/>
        </w:rPr>
        <w:t xml:space="preserve">, llegando a representar </w:t>
      </w:r>
      <w:r w:rsidR="009A3B12" w:rsidRPr="00F111CA">
        <w:rPr>
          <w:rFonts w:ascii="Garamond" w:hAnsi="Garamond"/>
        </w:rPr>
        <w:t xml:space="preserve">72,02 </w:t>
      </w:r>
      <w:r w:rsidR="00542498" w:rsidRPr="00F111CA">
        <w:rPr>
          <w:rFonts w:ascii="Garamond" w:hAnsi="Garamond"/>
        </w:rPr>
        <w:t>%</w:t>
      </w:r>
      <w:r w:rsidR="009A70A8" w:rsidRPr="00F111CA">
        <w:rPr>
          <w:rFonts w:ascii="Garamond" w:hAnsi="Garamond"/>
        </w:rPr>
        <w:t xml:space="preserve"> % del Área Plaza Activa</w:t>
      </w:r>
      <w:r w:rsidR="00C648A1" w:rsidRPr="00F111CA">
        <w:rPr>
          <w:rFonts w:ascii="Garamond" w:hAnsi="Garamond"/>
        </w:rPr>
        <w:t xml:space="preserve"> durante el </w:t>
      </w:r>
      <w:r w:rsidR="00542498" w:rsidRPr="00F111CA">
        <w:rPr>
          <w:rFonts w:ascii="Garamond" w:hAnsi="Garamond"/>
        </w:rPr>
        <w:t>trienio</w:t>
      </w:r>
      <w:r w:rsidR="009A70A8" w:rsidRPr="00F111CA">
        <w:rPr>
          <w:rFonts w:ascii="Garamond" w:hAnsi="Garamond"/>
        </w:rPr>
        <w:t>.</w:t>
      </w:r>
    </w:p>
    <w:p w:rsidR="009011A5" w:rsidRPr="00F111CA" w:rsidRDefault="009011A5" w:rsidP="004547D3">
      <w:pPr>
        <w:spacing w:after="120" w:line="240" w:lineRule="auto"/>
        <w:jc w:val="both"/>
        <w:rPr>
          <w:rFonts w:ascii="Garamond" w:hAnsi="Garamond"/>
        </w:rPr>
      </w:pPr>
      <w:r w:rsidRPr="00F111CA">
        <w:rPr>
          <w:rFonts w:ascii="Garamond" w:hAnsi="Garamond"/>
        </w:rPr>
        <w:t xml:space="preserve">Esto es que la Línea EVS tiene una participación </w:t>
      </w:r>
      <w:r w:rsidR="009A3B12" w:rsidRPr="00F111CA">
        <w:rPr>
          <w:rFonts w:ascii="Garamond" w:hAnsi="Garamond"/>
        </w:rPr>
        <w:t xml:space="preserve">mayoritaria </w:t>
      </w:r>
      <w:r w:rsidRPr="00F111CA">
        <w:rPr>
          <w:rFonts w:ascii="Garamond" w:hAnsi="Garamond"/>
        </w:rPr>
        <w:t>dentro de su Área</w:t>
      </w:r>
      <w:r w:rsidR="009A3B12" w:rsidRPr="00F111CA">
        <w:rPr>
          <w:rFonts w:ascii="Garamond" w:hAnsi="Garamond"/>
        </w:rPr>
        <w:t xml:space="preserve"> (“par”)</w:t>
      </w:r>
      <w:r w:rsidRPr="00F111CA">
        <w:rPr>
          <w:rFonts w:ascii="Garamond" w:hAnsi="Garamond"/>
        </w:rPr>
        <w:t>, la que sin embargo es bastante menor dentro de la cartera total del Programa.</w:t>
      </w:r>
    </w:p>
    <w:p w:rsidR="007939E3" w:rsidRPr="00F111CA" w:rsidRDefault="003F23F4" w:rsidP="004547D3">
      <w:pPr>
        <w:spacing w:after="120" w:line="240" w:lineRule="auto"/>
        <w:jc w:val="both"/>
        <w:rPr>
          <w:rFonts w:ascii="Garamond" w:hAnsi="Garamond"/>
        </w:rPr>
      </w:pPr>
      <w:r w:rsidRPr="00F111CA">
        <w:rPr>
          <w:rFonts w:ascii="Garamond" w:hAnsi="Garamond"/>
        </w:rPr>
        <w:t>E</w:t>
      </w:r>
      <w:r w:rsidR="009011A5" w:rsidRPr="00F111CA">
        <w:rPr>
          <w:rFonts w:ascii="Garamond" w:hAnsi="Garamond"/>
        </w:rPr>
        <w:t>l Área de Pasarelas P</w:t>
      </w:r>
      <w:r w:rsidR="00542498" w:rsidRPr="00F111CA">
        <w:rPr>
          <w:rFonts w:ascii="Garamond" w:hAnsi="Garamond"/>
        </w:rPr>
        <w:t xml:space="preserve">eatonales y </w:t>
      </w:r>
      <w:r w:rsidR="009011A5" w:rsidRPr="00F111CA">
        <w:rPr>
          <w:rFonts w:ascii="Garamond" w:hAnsi="Garamond"/>
        </w:rPr>
        <w:t>P</w:t>
      </w:r>
      <w:r w:rsidR="00542498" w:rsidRPr="00F111CA">
        <w:rPr>
          <w:rFonts w:ascii="Garamond" w:hAnsi="Garamond"/>
        </w:rPr>
        <w:t xml:space="preserve">uentes disminuye </w:t>
      </w:r>
      <w:r w:rsidRPr="00F111CA">
        <w:rPr>
          <w:rFonts w:ascii="Garamond" w:hAnsi="Garamond"/>
        </w:rPr>
        <w:t xml:space="preserve">su participación </w:t>
      </w:r>
      <w:r w:rsidR="00542498" w:rsidRPr="00F111CA">
        <w:rPr>
          <w:rFonts w:ascii="Garamond" w:hAnsi="Garamond"/>
        </w:rPr>
        <w:t>hacia el final del trienio,  pasando de un 2,34</w:t>
      </w:r>
      <w:r w:rsidRPr="00F111CA">
        <w:rPr>
          <w:rFonts w:ascii="Garamond" w:hAnsi="Garamond"/>
        </w:rPr>
        <w:t xml:space="preserve"> </w:t>
      </w:r>
      <w:r w:rsidR="00542498" w:rsidRPr="00F111CA">
        <w:rPr>
          <w:rFonts w:ascii="Garamond" w:hAnsi="Garamond"/>
        </w:rPr>
        <w:t>% en 2011, a 1,71% en 2013. En el trienio acumulado, el monto de inversión superó los $4.377 millones</w:t>
      </w:r>
      <w:r w:rsidR="009A3B12" w:rsidRPr="00F111CA">
        <w:rPr>
          <w:rFonts w:ascii="Garamond" w:hAnsi="Garamond"/>
        </w:rPr>
        <w:t>, que representan un 2,32</w:t>
      </w:r>
      <w:r w:rsidRPr="00F111CA">
        <w:rPr>
          <w:rFonts w:ascii="Garamond" w:hAnsi="Garamond"/>
        </w:rPr>
        <w:t xml:space="preserve"> % de la cartera total PMU del mismo período</w:t>
      </w:r>
      <w:r w:rsidR="00542498" w:rsidRPr="00F111CA">
        <w:rPr>
          <w:rFonts w:ascii="Garamond" w:hAnsi="Garamond"/>
        </w:rPr>
        <w:t xml:space="preserve">. </w:t>
      </w:r>
      <w:r w:rsidR="009011A5" w:rsidRPr="00F111CA">
        <w:rPr>
          <w:rFonts w:ascii="Garamond" w:hAnsi="Garamond"/>
        </w:rPr>
        <w:t>L</w:t>
      </w:r>
      <w:r w:rsidR="00542498" w:rsidRPr="00F111CA">
        <w:rPr>
          <w:rFonts w:ascii="Garamond" w:hAnsi="Garamond"/>
        </w:rPr>
        <w:t xml:space="preserve">a </w:t>
      </w:r>
      <w:r w:rsidR="009011A5" w:rsidRPr="00F111CA">
        <w:rPr>
          <w:rFonts w:ascii="Garamond" w:hAnsi="Garamond"/>
        </w:rPr>
        <w:t>L</w:t>
      </w:r>
      <w:r w:rsidR="00542498" w:rsidRPr="00F111CA">
        <w:rPr>
          <w:rFonts w:ascii="Garamond" w:hAnsi="Garamond"/>
        </w:rPr>
        <w:t xml:space="preserve">ínea </w:t>
      </w:r>
      <w:r w:rsidR="009011A5" w:rsidRPr="00F111CA">
        <w:rPr>
          <w:rFonts w:ascii="Garamond" w:hAnsi="Garamond"/>
        </w:rPr>
        <w:t>M</w:t>
      </w:r>
      <w:r w:rsidR="00542498" w:rsidRPr="00F111CA">
        <w:rPr>
          <w:rFonts w:ascii="Garamond" w:hAnsi="Garamond"/>
        </w:rPr>
        <w:t xml:space="preserve">odular 100 </w:t>
      </w:r>
      <w:r w:rsidR="009011A5" w:rsidRPr="00F111CA">
        <w:rPr>
          <w:rFonts w:ascii="Garamond" w:hAnsi="Garamond"/>
        </w:rPr>
        <w:t>P</w:t>
      </w:r>
      <w:r w:rsidR="00542498" w:rsidRPr="00F111CA">
        <w:rPr>
          <w:rFonts w:ascii="Garamond" w:hAnsi="Garamond"/>
        </w:rPr>
        <w:t xml:space="preserve">asarelas </w:t>
      </w:r>
      <w:r w:rsidR="009A3B12" w:rsidRPr="00F111CA">
        <w:rPr>
          <w:rFonts w:ascii="Garamond" w:hAnsi="Garamond"/>
        </w:rPr>
        <w:t>tuvo un comportamiento parecido:</w:t>
      </w:r>
      <w:r w:rsidR="00542498" w:rsidRPr="00F111CA">
        <w:rPr>
          <w:rFonts w:ascii="Garamond" w:hAnsi="Garamond"/>
        </w:rPr>
        <w:t xml:space="preserve"> </w:t>
      </w:r>
      <w:r w:rsidR="009A3B12" w:rsidRPr="00F111CA">
        <w:rPr>
          <w:rFonts w:ascii="Garamond" w:hAnsi="Garamond"/>
        </w:rPr>
        <w:t>e</w:t>
      </w:r>
      <w:r w:rsidR="00542498" w:rsidRPr="00F111CA">
        <w:rPr>
          <w:rFonts w:ascii="Garamond" w:hAnsi="Garamond"/>
        </w:rPr>
        <w:t xml:space="preserve">n 2011 no se financiaron proyectos, el año 2012 </w:t>
      </w:r>
      <w:r w:rsidR="005D18C2" w:rsidRPr="00F111CA">
        <w:rPr>
          <w:rFonts w:ascii="Garamond" w:hAnsi="Garamond"/>
        </w:rPr>
        <w:t>se financiaron 48 iniciativas, mientras que el año 2013 vuelve a caer, con 15 proyectos. Al final del trienio, la línea modular acumulaba financiamiento por $2.295 mil millones, lo que representa un 54% de</w:t>
      </w:r>
      <w:r w:rsidRPr="00F111CA">
        <w:rPr>
          <w:rFonts w:ascii="Garamond" w:hAnsi="Garamond"/>
        </w:rPr>
        <w:t>l</w:t>
      </w:r>
      <w:r w:rsidR="005D18C2" w:rsidRPr="00F111CA">
        <w:rPr>
          <w:rFonts w:ascii="Garamond" w:hAnsi="Garamond"/>
        </w:rPr>
        <w:t xml:space="preserve"> </w:t>
      </w:r>
      <w:r w:rsidRPr="00F111CA">
        <w:rPr>
          <w:rFonts w:ascii="Garamond" w:hAnsi="Garamond"/>
        </w:rPr>
        <w:t>Á</w:t>
      </w:r>
      <w:r w:rsidR="005D18C2" w:rsidRPr="00F111CA">
        <w:rPr>
          <w:rFonts w:ascii="Garamond" w:hAnsi="Garamond"/>
        </w:rPr>
        <w:t xml:space="preserve">rea </w:t>
      </w:r>
      <w:r w:rsidRPr="00F111CA">
        <w:rPr>
          <w:rFonts w:ascii="Garamond" w:hAnsi="Garamond"/>
        </w:rPr>
        <w:t>P</w:t>
      </w:r>
      <w:r w:rsidR="005D18C2" w:rsidRPr="00F111CA">
        <w:rPr>
          <w:rFonts w:ascii="Garamond" w:hAnsi="Garamond"/>
        </w:rPr>
        <w:t>asarelas peatonales y puentes.</w:t>
      </w:r>
    </w:p>
    <w:p w:rsidR="009011A5" w:rsidRPr="00F111CA" w:rsidRDefault="009A3B12" w:rsidP="004547D3">
      <w:pPr>
        <w:spacing w:after="120" w:line="240" w:lineRule="auto"/>
        <w:jc w:val="both"/>
        <w:rPr>
          <w:rFonts w:ascii="Garamond" w:hAnsi="Garamond"/>
        </w:rPr>
      </w:pPr>
      <w:r w:rsidRPr="00F111CA">
        <w:rPr>
          <w:rFonts w:ascii="Garamond" w:hAnsi="Garamond"/>
        </w:rPr>
        <w:t>De manera semejante a lo que sucede con Plazas Activas/EVS, e</w:t>
      </w:r>
      <w:r w:rsidR="009011A5" w:rsidRPr="00F111CA">
        <w:rPr>
          <w:rFonts w:ascii="Garamond" w:hAnsi="Garamond"/>
        </w:rPr>
        <w:t xml:space="preserve">l </w:t>
      </w:r>
      <w:r w:rsidRPr="00F111CA">
        <w:rPr>
          <w:rFonts w:ascii="Garamond" w:hAnsi="Garamond"/>
        </w:rPr>
        <w:t xml:space="preserve">elevado porcentaje </w:t>
      </w:r>
      <w:r w:rsidR="009011A5" w:rsidRPr="00F111CA">
        <w:rPr>
          <w:rFonts w:ascii="Garamond" w:hAnsi="Garamond"/>
        </w:rPr>
        <w:t xml:space="preserve">de participación de la Línea sobre el Área podría eventualmente justificar la existencia de aquélla, aunque es un hecho que el </w:t>
      </w:r>
      <w:r w:rsidR="004F7ABD" w:rsidRPr="00F111CA">
        <w:rPr>
          <w:rFonts w:ascii="Garamond" w:hAnsi="Garamond"/>
        </w:rPr>
        <w:t xml:space="preserve">volumen del </w:t>
      </w:r>
      <w:r w:rsidR="009011A5" w:rsidRPr="00F111CA">
        <w:rPr>
          <w:rFonts w:ascii="Garamond" w:hAnsi="Garamond"/>
        </w:rPr>
        <w:t>Área no tiene gran importancia dentro del Programa</w:t>
      </w:r>
      <w:r w:rsidR="004F7ABD" w:rsidRPr="00F111CA">
        <w:rPr>
          <w:rFonts w:ascii="Garamond" w:hAnsi="Garamond"/>
        </w:rPr>
        <w:t>.</w:t>
      </w:r>
    </w:p>
    <w:p w:rsidR="004F7ABD" w:rsidRPr="00F111CA" w:rsidRDefault="004F7ABD" w:rsidP="004547D3">
      <w:pPr>
        <w:spacing w:after="120" w:line="240" w:lineRule="auto"/>
        <w:jc w:val="both"/>
        <w:rPr>
          <w:rFonts w:ascii="Garamond" w:hAnsi="Garamond"/>
        </w:rPr>
      </w:pPr>
    </w:p>
    <w:p w:rsidR="004F7ABD" w:rsidRPr="00F111CA" w:rsidRDefault="004F7ABD" w:rsidP="004547D3">
      <w:pPr>
        <w:pStyle w:val="Prrafodelista"/>
        <w:numPr>
          <w:ilvl w:val="0"/>
          <w:numId w:val="20"/>
        </w:numPr>
        <w:spacing w:after="120" w:line="240" w:lineRule="auto"/>
        <w:contextualSpacing w:val="0"/>
        <w:rPr>
          <w:rFonts w:ascii="Garamond" w:hAnsi="Garamond"/>
          <w:b/>
        </w:rPr>
      </w:pPr>
      <w:r w:rsidRPr="00F111CA">
        <w:rPr>
          <w:rFonts w:ascii="Garamond" w:hAnsi="Garamond"/>
          <w:b/>
        </w:rPr>
        <w:t>DIFERENCIAS ENTRE INVERSIÓN EFECTIVA DE PMU TRADI</w:t>
      </w:r>
      <w:r w:rsidR="00DC13EB" w:rsidRPr="00F111CA">
        <w:rPr>
          <w:rFonts w:ascii="Garamond" w:hAnsi="Garamond"/>
          <w:b/>
        </w:rPr>
        <w:t xml:space="preserve">CIONAL E INVERSIÓN EFECTIVA DE </w:t>
      </w:r>
      <w:r w:rsidRPr="00F111CA">
        <w:rPr>
          <w:rFonts w:ascii="Garamond" w:hAnsi="Garamond"/>
          <w:b/>
        </w:rPr>
        <w:t>PMU EMERGENCIA</w:t>
      </w:r>
    </w:p>
    <w:p w:rsidR="004F7ABD" w:rsidRPr="00F111CA" w:rsidRDefault="004F7ABD" w:rsidP="004547D3">
      <w:pPr>
        <w:spacing w:after="120" w:line="240" w:lineRule="auto"/>
        <w:jc w:val="both"/>
        <w:rPr>
          <w:rFonts w:ascii="Garamond" w:hAnsi="Garamond"/>
        </w:rPr>
      </w:pPr>
      <w:r w:rsidRPr="00F111CA">
        <w:rPr>
          <w:rFonts w:ascii="Garamond" w:hAnsi="Garamond"/>
        </w:rPr>
        <w:t xml:space="preserve">La Tabla N° </w:t>
      </w:r>
      <w:r w:rsidR="00C666FC" w:rsidRPr="00F111CA">
        <w:rPr>
          <w:rFonts w:ascii="Garamond" w:hAnsi="Garamond"/>
        </w:rPr>
        <w:t>8</w:t>
      </w:r>
      <w:r w:rsidRPr="00F111CA">
        <w:rPr>
          <w:rFonts w:ascii="Garamond" w:hAnsi="Garamond"/>
        </w:rPr>
        <w:t xml:space="preserve"> muestra la </w:t>
      </w:r>
      <w:r w:rsidR="000B2F48" w:rsidRPr="00F111CA">
        <w:rPr>
          <w:rFonts w:ascii="Garamond" w:hAnsi="Garamond"/>
        </w:rPr>
        <w:t>estructura</w:t>
      </w:r>
      <w:r w:rsidRPr="00F111CA">
        <w:rPr>
          <w:rFonts w:ascii="Garamond" w:hAnsi="Garamond"/>
        </w:rPr>
        <w:t xml:space="preserve"> de la inversión efectiva del Programa, por fuentes de financiamiento: Tradicional</w:t>
      </w:r>
      <w:r w:rsidR="00DC13EB" w:rsidRPr="00F111CA">
        <w:rPr>
          <w:rFonts w:ascii="Garamond" w:hAnsi="Garamond"/>
        </w:rPr>
        <w:t xml:space="preserve"> y Emergencia y participación del </w:t>
      </w:r>
      <w:r w:rsidRPr="00F111CA">
        <w:rPr>
          <w:rFonts w:ascii="Garamond" w:hAnsi="Garamond"/>
        </w:rPr>
        <w:t xml:space="preserve">FIE (en este caso no se contó con la información de proyectos “Espejo </w:t>
      </w:r>
      <w:proofErr w:type="spellStart"/>
      <w:r w:rsidRPr="00F111CA">
        <w:rPr>
          <w:rFonts w:ascii="Garamond" w:hAnsi="Garamond"/>
        </w:rPr>
        <w:t>Transantiago</w:t>
      </w:r>
      <w:proofErr w:type="spellEnd"/>
      <w:r w:rsidRPr="00F111CA">
        <w:rPr>
          <w:rFonts w:ascii="Garamond" w:hAnsi="Garamond"/>
        </w:rPr>
        <w:t>” del MTT</w:t>
      </w:r>
      <w:r w:rsidR="00DC13EB" w:rsidRPr="00F111CA">
        <w:rPr>
          <w:rFonts w:ascii="Garamond" w:hAnsi="Garamond"/>
        </w:rPr>
        <w:t>, por lo demás bastante marginal y respecto a los cuales la SUBDERE sólo cumple un rol administrativo contable</w:t>
      </w:r>
      <w:r w:rsidRPr="00F111CA">
        <w:rPr>
          <w:rFonts w:ascii="Garamond" w:hAnsi="Garamond"/>
        </w:rPr>
        <w:t>).</w:t>
      </w:r>
    </w:p>
    <w:p w:rsidR="004F7ABD" w:rsidRPr="00F111CA" w:rsidRDefault="004F7ABD" w:rsidP="004547D3">
      <w:pPr>
        <w:spacing w:after="120" w:line="240" w:lineRule="auto"/>
        <w:jc w:val="both"/>
        <w:rPr>
          <w:rFonts w:ascii="Garamond" w:hAnsi="Garamond"/>
        </w:rPr>
      </w:pPr>
    </w:p>
    <w:p w:rsidR="004F7ABD" w:rsidRPr="00F111CA" w:rsidRDefault="004F7ABD" w:rsidP="004547D3">
      <w:pPr>
        <w:spacing w:after="120" w:line="240" w:lineRule="auto"/>
        <w:jc w:val="both"/>
        <w:rPr>
          <w:rFonts w:ascii="Garamond" w:hAnsi="Garamond"/>
        </w:rPr>
      </w:pPr>
    </w:p>
    <w:p w:rsidR="004F7ABD" w:rsidRPr="00F111CA" w:rsidRDefault="004F7ABD" w:rsidP="004547D3">
      <w:pPr>
        <w:spacing w:after="120" w:line="240" w:lineRule="auto"/>
        <w:rPr>
          <w:rFonts w:ascii="Garamond" w:hAnsi="Garamond"/>
        </w:rPr>
        <w:sectPr w:rsidR="004F7ABD" w:rsidRPr="00F111CA" w:rsidSect="00057810">
          <w:pgSz w:w="12240" w:h="15840"/>
          <w:pgMar w:top="1985" w:right="1701" w:bottom="1985" w:left="1701" w:header="709" w:footer="709" w:gutter="0"/>
          <w:cols w:space="708"/>
          <w:docGrid w:linePitch="360"/>
        </w:sectPr>
      </w:pPr>
    </w:p>
    <w:p w:rsidR="00812783" w:rsidRPr="00F111CA" w:rsidRDefault="00812783" w:rsidP="004547D3">
      <w:pPr>
        <w:spacing w:after="120" w:line="240" w:lineRule="auto"/>
        <w:jc w:val="center"/>
        <w:rPr>
          <w:rFonts w:ascii="Garamond" w:hAnsi="Garamond"/>
        </w:rPr>
      </w:pPr>
      <w:r w:rsidRPr="00F111CA">
        <w:rPr>
          <w:rFonts w:ascii="Garamond" w:hAnsi="Garamond"/>
        </w:rPr>
        <w:lastRenderedPageBreak/>
        <w:t xml:space="preserve">TABLA N° </w:t>
      </w:r>
      <w:r w:rsidR="00C666FC" w:rsidRPr="00F111CA">
        <w:rPr>
          <w:rFonts w:ascii="Garamond" w:hAnsi="Garamond"/>
        </w:rPr>
        <w:t>8</w:t>
      </w:r>
      <w:r w:rsidRPr="00F111CA">
        <w:rPr>
          <w:rFonts w:ascii="Garamond" w:hAnsi="Garamond"/>
        </w:rPr>
        <w:t xml:space="preserve">: ESTRUCTURA DE </w:t>
      </w:r>
      <w:r w:rsidR="00440CD7" w:rsidRPr="00F111CA">
        <w:rPr>
          <w:rFonts w:ascii="Garamond" w:hAnsi="Garamond"/>
        </w:rPr>
        <w:t>INVERSION EFECTIVA DE</w:t>
      </w:r>
      <w:r w:rsidRPr="00F111CA">
        <w:rPr>
          <w:rFonts w:ascii="Garamond" w:hAnsi="Garamond"/>
        </w:rPr>
        <w:t xml:space="preserve"> PMU SEGÚN FUENTE: TRADICIONAL Y EMERGENCIA, FIE Y MINISTERIO DE TRANSPORTES, </w:t>
      </w:r>
      <w:r w:rsidR="000A5DEE" w:rsidRPr="00F111CA">
        <w:rPr>
          <w:rFonts w:ascii="Garamond" w:hAnsi="Garamond"/>
        </w:rPr>
        <w:t>2011 – 2013 Y TRIENIO</w:t>
      </w:r>
    </w:p>
    <w:tbl>
      <w:tblPr>
        <w:tblW w:w="10940" w:type="dxa"/>
        <w:jc w:val="center"/>
        <w:tblLayout w:type="fixed"/>
        <w:tblCellMar>
          <w:left w:w="70" w:type="dxa"/>
          <w:right w:w="70" w:type="dxa"/>
        </w:tblCellMar>
        <w:tblLook w:val="04A0" w:firstRow="1" w:lastRow="0" w:firstColumn="1" w:lastColumn="0" w:noHBand="0" w:noVBand="1"/>
      </w:tblPr>
      <w:tblGrid>
        <w:gridCol w:w="3081"/>
        <w:gridCol w:w="533"/>
        <w:gridCol w:w="1608"/>
        <w:gridCol w:w="518"/>
        <w:gridCol w:w="1214"/>
        <w:gridCol w:w="629"/>
        <w:gridCol w:w="1486"/>
        <w:gridCol w:w="499"/>
        <w:gridCol w:w="1372"/>
      </w:tblGrid>
      <w:tr w:rsidR="002A0772" w:rsidRPr="002A0772" w:rsidTr="002A0772">
        <w:trPr>
          <w:jc w:val="center"/>
        </w:trPr>
        <w:tc>
          <w:tcPr>
            <w:tcW w:w="3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 </w:t>
            </w:r>
          </w:p>
        </w:tc>
        <w:tc>
          <w:tcPr>
            <w:tcW w:w="3873" w:type="dxa"/>
            <w:gridSpan w:val="4"/>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2011</w:t>
            </w:r>
          </w:p>
        </w:tc>
        <w:tc>
          <w:tcPr>
            <w:tcW w:w="3986" w:type="dxa"/>
            <w:gridSpan w:val="4"/>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Pr>
                <w:rFonts w:ascii="Garamond" w:hAnsi="Garamond"/>
                <w:sz w:val="18"/>
                <w:szCs w:val="18"/>
              </w:rPr>
              <w:t>2012</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 </w:t>
            </w:r>
          </w:p>
        </w:tc>
        <w:tc>
          <w:tcPr>
            <w:tcW w:w="2141"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EMERGENCIA</w:t>
            </w:r>
          </w:p>
        </w:tc>
        <w:tc>
          <w:tcPr>
            <w:tcW w:w="1732"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TRADICIONAL</w:t>
            </w:r>
          </w:p>
        </w:tc>
        <w:tc>
          <w:tcPr>
            <w:tcW w:w="2115"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Pr>
                <w:rFonts w:ascii="Garamond" w:hAnsi="Garamond"/>
                <w:sz w:val="18"/>
                <w:szCs w:val="18"/>
              </w:rPr>
              <w:t>EMERGENCIA</w:t>
            </w:r>
          </w:p>
        </w:tc>
        <w:tc>
          <w:tcPr>
            <w:tcW w:w="1871"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Pr>
                <w:rFonts w:ascii="Garamond" w:hAnsi="Garamond"/>
                <w:sz w:val="18"/>
                <w:szCs w:val="18"/>
              </w:rPr>
              <w:t>TRADICIONAL</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Áreas de Inversión</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Aceras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90</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3.149.463.000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144</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2.876.953.000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91</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3.453.089.532</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74</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1.277.738.026</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Áreas verdes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37</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1.176.003.000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66</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1.211.172.000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76</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2.761.918.586</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55</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990.439.675</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Construcción y mejoramiento de canchas deportivas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129</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5.028.582.000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54</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1.155.125.000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146</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6.311.427.097</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27</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416.640.184</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Consultorios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36</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1.058.422.000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163.249.000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591.574.436</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90.894.000</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Escuelas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509.501.000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64.565.000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21</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789.650.110</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101.593.094</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Implementación de deportes alternativos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542.261.000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78.156.000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20</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819.773.009</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85.894.362</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Infraestructura de servicios municipales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81</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2.838.989.000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62</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1.042.802.000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29</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1.276.700.328</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22</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328.841.431</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Instalaciones sanitarias y obras civiles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56</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2.123.281.000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58</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1.202.928.000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44</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1.433.833.918</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26</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774.262.676</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Jardín infantil</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256.773.000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52.187.000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232.117.566</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52.923.510</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Pasarela peatonal y puentes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37</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1.358.733.000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198.627.000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52</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1.812.246.542</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74.696.779</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Pavimentación y mejoramiento de caminos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39</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1.511.320.000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38</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928.915.000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116</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4.554.848.582</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35</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841.323.011</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Plazas activas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457.919.000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131.513.000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1.822.559.881</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225.917.545</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Plazas y juegos infantiles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104</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4.127.564.000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76</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1.179.227.000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124</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4.627.006.181</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56</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881.096.612</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Recuperación borde costero</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142.892.000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107.155.000</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4.000.000</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Recuperación de espacios públicos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108</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3.652.863.000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141</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2.910.654.178</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75</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2.485.827.099</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54</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813.594.795</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Refugios peatonales y terminal de buses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430.970.000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22</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512.399.000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260.721.000</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32.126.944</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Reparación de cementerios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510.348.000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352.099.000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247.475.000</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171.024.000</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Sedes comunitarias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77</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2.745.919.000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91</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1.710.477.000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136</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5.356.322.489</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23</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506.146.991</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Señaléticas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208.945.000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108.323.000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10.612.000</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70.384.000</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 xml:space="preserve">Sistema de energía eléctrica, renovables y alumbrado público </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50</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1.948.410.000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193.014.000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1.605.804.863</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253.909.209</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Teatros, centros culturales y bibliotecas</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169.354.000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190.789.000</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347.759.000</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62.432.245</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TOTAL</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935</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33.948.512.000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833</w:t>
            </w: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16.263.174.178</w:t>
            </w: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1.066</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40.908.422.219</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452</w:t>
            </w: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8.055.879.089</w:t>
            </w: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 </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Sólo FIE</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452</w:t>
            </w: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16.216.085.000</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490</w:t>
            </w: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18.702.327.779</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r>
      <w:tr w:rsidR="002A0772" w:rsidRPr="002A0772" w:rsidTr="002A0772">
        <w:trPr>
          <w:jc w:val="center"/>
        </w:trPr>
        <w:tc>
          <w:tcPr>
            <w:tcW w:w="3081"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FIE/EMERGENCIA</w:t>
            </w:r>
          </w:p>
        </w:tc>
        <w:tc>
          <w:tcPr>
            <w:tcW w:w="533"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60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32,33%</w:t>
            </w:r>
          </w:p>
        </w:tc>
        <w:tc>
          <w:tcPr>
            <w:tcW w:w="518"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1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62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48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31,37%</w:t>
            </w:r>
          </w:p>
        </w:tc>
        <w:tc>
          <w:tcPr>
            <w:tcW w:w="499"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37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r>
    </w:tbl>
    <w:p w:rsidR="00495E99" w:rsidRPr="00F111CA" w:rsidRDefault="00495E99" w:rsidP="004547D3">
      <w:pPr>
        <w:tabs>
          <w:tab w:val="left" w:pos="1590"/>
        </w:tabs>
        <w:spacing w:after="120" w:line="240" w:lineRule="auto"/>
        <w:rPr>
          <w:rFonts w:ascii="Garamond" w:hAnsi="Garamond"/>
        </w:rPr>
      </w:pPr>
    </w:p>
    <w:p w:rsidR="009F7C4B" w:rsidRPr="00F111CA" w:rsidRDefault="009F7C4B" w:rsidP="004547D3">
      <w:pPr>
        <w:tabs>
          <w:tab w:val="left" w:pos="1590"/>
        </w:tabs>
        <w:spacing w:after="120" w:line="240" w:lineRule="auto"/>
        <w:rPr>
          <w:rFonts w:ascii="Garamond" w:hAnsi="Garamond"/>
        </w:rPr>
      </w:pPr>
    </w:p>
    <w:p w:rsidR="009F7C4B" w:rsidRPr="00F111CA" w:rsidRDefault="009F7C4B" w:rsidP="004547D3">
      <w:pPr>
        <w:spacing w:after="120" w:line="240" w:lineRule="auto"/>
        <w:rPr>
          <w:rFonts w:ascii="Garamond" w:hAnsi="Garamond"/>
        </w:rPr>
      </w:pPr>
      <w:r w:rsidRPr="00F111CA">
        <w:rPr>
          <w:rFonts w:ascii="Garamond" w:hAnsi="Garamond"/>
        </w:rPr>
        <w:br w:type="page"/>
      </w:r>
    </w:p>
    <w:p w:rsidR="009F7C4B" w:rsidRPr="00F111CA" w:rsidRDefault="009F7C4B" w:rsidP="004547D3">
      <w:pPr>
        <w:spacing w:after="120" w:line="240" w:lineRule="auto"/>
        <w:jc w:val="center"/>
        <w:rPr>
          <w:rFonts w:ascii="Garamond" w:hAnsi="Garamond"/>
        </w:rPr>
      </w:pPr>
      <w:r w:rsidRPr="00F111CA">
        <w:rPr>
          <w:rFonts w:ascii="Garamond" w:hAnsi="Garamond"/>
        </w:rPr>
        <w:lastRenderedPageBreak/>
        <w:t>CONTINUACIÓN TABLA N°</w:t>
      </w:r>
      <w:r w:rsidR="00C666FC" w:rsidRPr="00F111CA">
        <w:rPr>
          <w:rFonts w:ascii="Garamond" w:hAnsi="Garamond"/>
        </w:rPr>
        <w:t xml:space="preserve"> 8</w:t>
      </w:r>
      <w:r w:rsidR="00680B64" w:rsidRPr="00F111CA">
        <w:rPr>
          <w:rFonts w:ascii="Garamond" w:hAnsi="Garamond"/>
          <w:color w:val="000000"/>
          <w:sz w:val="16"/>
          <w:szCs w:val="16"/>
        </w:rPr>
        <w:t xml:space="preserve"> </w:t>
      </w:r>
    </w:p>
    <w:tbl>
      <w:tblPr>
        <w:tblW w:w="10940" w:type="dxa"/>
        <w:jc w:val="center"/>
        <w:tblLayout w:type="fixed"/>
        <w:tblCellMar>
          <w:left w:w="70" w:type="dxa"/>
          <w:right w:w="70" w:type="dxa"/>
        </w:tblCellMar>
        <w:tblLook w:val="04A0" w:firstRow="1" w:lastRow="0" w:firstColumn="1" w:lastColumn="0" w:noHBand="0" w:noVBand="1"/>
      </w:tblPr>
      <w:tblGrid>
        <w:gridCol w:w="3756"/>
        <w:gridCol w:w="567"/>
        <w:gridCol w:w="1276"/>
        <w:gridCol w:w="567"/>
        <w:gridCol w:w="1134"/>
        <w:gridCol w:w="567"/>
        <w:gridCol w:w="1331"/>
        <w:gridCol w:w="540"/>
        <w:gridCol w:w="1202"/>
      </w:tblGrid>
      <w:tr w:rsidR="002A0772" w:rsidRPr="002A0772" w:rsidTr="002A0772">
        <w:trPr>
          <w:jc w:val="center"/>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 </w:t>
            </w:r>
          </w:p>
        </w:tc>
        <w:tc>
          <w:tcPr>
            <w:tcW w:w="3544" w:type="dxa"/>
            <w:gridSpan w:val="4"/>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2013</w:t>
            </w:r>
          </w:p>
        </w:tc>
        <w:tc>
          <w:tcPr>
            <w:tcW w:w="3640" w:type="dxa"/>
            <w:gridSpan w:val="4"/>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 </w:t>
            </w:r>
          </w:p>
        </w:tc>
        <w:tc>
          <w:tcPr>
            <w:tcW w:w="1843"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EMERGENCIA</w:t>
            </w:r>
          </w:p>
        </w:tc>
        <w:tc>
          <w:tcPr>
            <w:tcW w:w="1701"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p>
        </w:tc>
        <w:tc>
          <w:tcPr>
            <w:tcW w:w="1898"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TRADICIONAL</w:t>
            </w:r>
          </w:p>
        </w:tc>
        <w:tc>
          <w:tcPr>
            <w:tcW w:w="1742" w:type="dxa"/>
            <w:gridSpan w:val="2"/>
            <w:tcBorders>
              <w:top w:val="single" w:sz="4" w:space="0" w:color="auto"/>
              <w:left w:val="nil"/>
              <w:bottom w:val="single" w:sz="4" w:space="0" w:color="auto"/>
              <w:right w:val="single" w:sz="4" w:space="0" w:color="000000"/>
            </w:tcBorders>
            <w:shd w:val="clear" w:color="auto" w:fill="auto"/>
            <w:noWrap/>
            <w:hideMark/>
          </w:tcPr>
          <w:p w:rsidR="002A0772" w:rsidRPr="002A0772" w:rsidRDefault="002A0772" w:rsidP="002A0772">
            <w:pPr>
              <w:spacing w:after="0" w:line="240" w:lineRule="auto"/>
              <w:rPr>
                <w:rFonts w:ascii="Garamond" w:hAnsi="Garamond"/>
                <w:sz w:val="18"/>
                <w:szCs w:val="18"/>
              </w:rPr>
            </w:pP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Áreas de Inversión</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xml:space="preserve">N° </w:t>
            </w:r>
            <w:proofErr w:type="spellStart"/>
            <w:r w:rsidRPr="002A0772">
              <w:rPr>
                <w:rFonts w:ascii="Garamond" w:hAnsi="Garamond"/>
                <w:sz w:val="18"/>
                <w:szCs w:val="18"/>
              </w:rPr>
              <w:t>proy</w:t>
            </w:r>
            <w:proofErr w:type="spellEnd"/>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rPr>
                <w:rFonts w:ascii="Garamond" w:hAnsi="Garamond"/>
                <w:sz w:val="18"/>
                <w:szCs w:val="18"/>
              </w:rPr>
            </w:pPr>
            <w:r w:rsidRPr="002A0772">
              <w:rPr>
                <w:rFonts w:ascii="Garamond" w:hAnsi="Garamond"/>
                <w:sz w:val="18"/>
                <w:szCs w:val="18"/>
              </w:rPr>
              <w:t>$ SUBDERE</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Aceras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101</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4.393.696.543</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71</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1.757.620.632</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282</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10.996.249.075</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289</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5.912.311.658</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Áreas verdes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69</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2.464.691.006</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40</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1.014.330.439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182</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6.402.612.592</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161</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3.215.942.114</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Construcción y mejoramiento de canchas deportivas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143</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5.859.360.868</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27</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738.166.879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418</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17.199.369.965</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108</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2.309.932.063</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Consultorios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527.428.269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31.872.642</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65</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2.177.424.705</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286.015.642</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Escuelas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1.569.117.834</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180.404.268</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67</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2.868.268.944</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346.562.362</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Implementación de deportes alternativos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575.580.929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95.136.545</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44</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1.937.614.938</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259.186.907</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Infraestructura de servicios municipales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54</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2.505.769.628</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26</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554.989.256</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164</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6.621.458.956</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110</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1.926.632.687</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Instalaciones sanitarias y obras civiles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54</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2.299.468.478</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22</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456.144.689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154</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5.856.583.396</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106</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2.433.335.365</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Jardín infantil</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287.520.211</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55.180.235</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20</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776.410.777</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160.290.745</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Pasarela peatonal y puentes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20</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887.638.937</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45.637.760</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109</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4.058.618.479</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318.961.539</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Pavimentación y mejoramiento de caminos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55</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2.293.244.184</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26</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729.325.883</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210</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8.359.412.766</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99</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2.499.563.894</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Plazas activas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44</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1.541.889.259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257.774.539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100</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3.822.368.140</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41</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615.205.084</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Plazas y juegos infantiles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113</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4.726.307.653</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36</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989.948.799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341</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13.480.877.834</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168</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3.050.272.411</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Recuperación borde costero</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35.000.000</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43.310.592</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285.047.000</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47.310.592</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Recuperación de espacios públicos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48</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1.842.222.373</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48</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779.256.307</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231</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7.980.912.472</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243</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4.503.505.280</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Refugios peatonales y terminal de buses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468.209.299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169.631.592</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1.159.900.299</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34</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714.157.536</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Reparación de cementerios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770.071.905</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251.199.606</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41</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1.527.894.905</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774.322.606</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Sedes comunitarias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98</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3.707.521.452</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24</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510.081.122</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311</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11.809.762.941</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138</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2.726.705.113</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Señaléticas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185.544.854</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5</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116.260.971</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15</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405.101.854</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294.967.971</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 xml:space="preserve">Sistema de energía eléctrica, renovables y alumbrado público </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26</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994.032.412</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215.750.471</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121</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4.548.247.275</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45</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662.673.680</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center"/>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Teatros, centros culturales y bibliotecas</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161.463.455</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14</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678.576.455</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253.221.245</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b/>
                <w:bCs/>
                <w:color w:val="000000"/>
                <w:sz w:val="18"/>
                <w:szCs w:val="18"/>
                <w:lang w:eastAsia="es-CL"/>
              </w:rPr>
            </w:pPr>
            <w:r w:rsidRPr="002A0772">
              <w:rPr>
                <w:rFonts w:ascii="Garamond" w:eastAsia="Times New Roman" w:hAnsi="Garamond" w:cs="Times New Roman"/>
                <w:b/>
                <w:bCs/>
                <w:color w:val="000000"/>
                <w:sz w:val="18"/>
                <w:szCs w:val="18"/>
                <w:lang w:eastAsia="es-CL"/>
              </w:rPr>
              <w:t>TOTAL</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927</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38.095.779.549</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387</w:t>
            </w: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8.992.023.227</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2.928</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112.952.713.768</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1.672</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33.311.076.494</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 </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Sólo FIE</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180</w:t>
            </w: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7.500.764.131</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1.122</w:t>
            </w: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42.419.176.910</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0</w:t>
            </w: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0</w:t>
            </w:r>
          </w:p>
        </w:tc>
      </w:tr>
      <w:tr w:rsidR="002A0772" w:rsidRPr="002A0772" w:rsidTr="002A0772">
        <w:trPr>
          <w:jc w:val="center"/>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2A0772" w:rsidRPr="002A0772" w:rsidRDefault="002A0772" w:rsidP="002A0772">
            <w:pPr>
              <w:spacing w:after="0" w:line="240" w:lineRule="auto"/>
              <w:rPr>
                <w:rFonts w:ascii="Garamond" w:eastAsia="Times New Roman" w:hAnsi="Garamond" w:cs="Times New Roman"/>
                <w:color w:val="000000"/>
                <w:sz w:val="18"/>
                <w:szCs w:val="18"/>
                <w:lang w:eastAsia="es-CL"/>
              </w:rPr>
            </w:pPr>
            <w:r w:rsidRPr="002A0772">
              <w:rPr>
                <w:rFonts w:ascii="Garamond" w:eastAsia="Times New Roman" w:hAnsi="Garamond" w:cs="Times New Roman"/>
                <w:color w:val="000000"/>
                <w:sz w:val="18"/>
                <w:szCs w:val="18"/>
                <w:lang w:eastAsia="es-CL"/>
              </w:rPr>
              <w:t>FIE/EMERGENCIA</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76"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16,45%</w:t>
            </w: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134"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567"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331"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r w:rsidRPr="002A0772">
              <w:rPr>
                <w:rFonts w:ascii="Garamond" w:hAnsi="Garamond"/>
                <w:sz w:val="18"/>
                <w:szCs w:val="18"/>
              </w:rPr>
              <w:t>27,30%</w:t>
            </w:r>
          </w:p>
        </w:tc>
        <w:tc>
          <w:tcPr>
            <w:tcW w:w="540"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c>
          <w:tcPr>
            <w:tcW w:w="1202" w:type="dxa"/>
            <w:tcBorders>
              <w:top w:val="nil"/>
              <w:left w:val="nil"/>
              <w:bottom w:val="single" w:sz="4" w:space="0" w:color="auto"/>
              <w:right w:val="single" w:sz="4" w:space="0" w:color="auto"/>
            </w:tcBorders>
            <w:shd w:val="clear" w:color="auto" w:fill="auto"/>
            <w:noWrap/>
            <w:hideMark/>
          </w:tcPr>
          <w:p w:rsidR="002A0772" w:rsidRPr="002A0772" w:rsidRDefault="002A0772" w:rsidP="002A0772">
            <w:pPr>
              <w:spacing w:after="0" w:line="240" w:lineRule="auto"/>
              <w:jc w:val="right"/>
              <w:rPr>
                <w:rFonts w:ascii="Garamond" w:hAnsi="Garamond"/>
                <w:sz w:val="18"/>
                <w:szCs w:val="18"/>
              </w:rPr>
            </w:pPr>
          </w:p>
        </w:tc>
      </w:tr>
    </w:tbl>
    <w:p w:rsidR="0045077D" w:rsidRPr="00F111CA" w:rsidRDefault="0045077D" w:rsidP="004547D3">
      <w:pPr>
        <w:spacing w:after="120" w:line="240" w:lineRule="auto"/>
        <w:rPr>
          <w:rFonts w:ascii="Garamond" w:hAnsi="Garamond"/>
        </w:rPr>
      </w:pPr>
    </w:p>
    <w:p w:rsidR="005116EB" w:rsidRDefault="005116EB">
      <w:pPr>
        <w:rPr>
          <w:rFonts w:ascii="Garamond" w:hAnsi="Garamond"/>
        </w:rPr>
      </w:pPr>
      <w:r>
        <w:rPr>
          <w:rFonts w:ascii="Garamond" w:hAnsi="Garamond"/>
        </w:rPr>
        <w:br w:type="page"/>
      </w:r>
    </w:p>
    <w:p w:rsidR="005C3177" w:rsidRDefault="008D1F66" w:rsidP="004547D3">
      <w:pPr>
        <w:spacing w:after="120" w:line="240" w:lineRule="auto"/>
        <w:jc w:val="both"/>
        <w:rPr>
          <w:rFonts w:ascii="Garamond" w:hAnsi="Garamond"/>
        </w:rPr>
      </w:pPr>
      <w:r w:rsidRPr="00F111CA">
        <w:rPr>
          <w:rFonts w:ascii="Garamond" w:hAnsi="Garamond"/>
        </w:rPr>
        <w:lastRenderedPageBreak/>
        <w:t>Al observar la inversión efectiva total, t</w:t>
      </w:r>
      <w:r w:rsidR="006C379E" w:rsidRPr="00F111CA">
        <w:rPr>
          <w:rFonts w:ascii="Garamond" w:hAnsi="Garamond"/>
        </w:rPr>
        <w:t xml:space="preserve">al como ocurría con la demanda por financiamiento, </w:t>
      </w:r>
      <w:r w:rsidRPr="00F111CA">
        <w:rPr>
          <w:rFonts w:ascii="Garamond" w:hAnsi="Garamond"/>
        </w:rPr>
        <w:t xml:space="preserve">el PMU Emergencia </w:t>
      </w:r>
      <w:r w:rsidR="00750E80">
        <w:rPr>
          <w:rFonts w:ascii="Garamond" w:hAnsi="Garamond"/>
        </w:rPr>
        <w:t xml:space="preserve">(sin FIE) </w:t>
      </w:r>
      <w:r w:rsidRPr="00F111CA">
        <w:rPr>
          <w:rFonts w:ascii="Garamond" w:hAnsi="Garamond"/>
        </w:rPr>
        <w:t xml:space="preserve">supera por lejos al Tradicional en una relación </w:t>
      </w:r>
      <w:r w:rsidR="00750E80">
        <w:rPr>
          <w:rFonts w:ascii="Garamond" w:hAnsi="Garamond"/>
        </w:rPr>
        <w:t>que se mueve entre 68/32 y 84/16</w:t>
      </w:r>
      <w:r w:rsidRPr="00F111CA">
        <w:rPr>
          <w:rFonts w:ascii="Garamond" w:hAnsi="Garamond"/>
        </w:rPr>
        <w:t xml:space="preserve"> en el </w:t>
      </w:r>
      <w:r w:rsidR="00452E5E" w:rsidRPr="00F111CA">
        <w:rPr>
          <w:rFonts w:ascii="Garamond" w:hAnsi="Garamond"/>
        </w:rPr>
        <w:t>trienio</w:t>
      </w:r>
      <w:r w:rsidRPr="00F111CA">
        <w:rPr>
          <w:rFonts w:ascii="Garamond" w:hAnsi="Garamond"/>
        </w:rPr>
        <w:t xml:space="preserve">. </w:t>
      </w:r>
      <w:r w:rsidR="005C3177" w:rsidRPr="00F111CA">
        <w:rPr>
          <w:rFonts w:ascii="Garamond" w:hAnsi="Garamond"/>
        </w:rPr>
        <w:t xml:space="preserve">Esta relación se muestra en el Gráfico N° </w:t>
      </w:r>
      <w:r w:rsidR="00C666FC" w:rsidRPr="00F111CA">
        <w:rPr>
          <w:rFonts w:ascii="Garamond" w:hAnsi="Garamond"/>
        </w:rPr>
        <w:t>9</w:t>
      </w:r>
      <w:r w:rsidR="005C3177" w:rsidRPr="00F111CA">
        <w:rPr>
          <w:rFonts w:ascii="Garamond" w:hAnsi="Garamond"/>
        </w:rPr>
        <w:t>.</w:t>
      </w:r>
      <w:r w:rsidR="005E1695" w:rsidRPr="00F111CA">
        <w:rPr>
          <w:rFonts w:ascii="Garamond" w:hAnsi="Garamond"/>
        </w:rPr>
        <w:t xml:space="preserve"> </w:t>
      </w:r>
      <w:r w:rsidR="0045077D" w:rsidRPr="00F111CA">
        <w:rPr>
          <w:rFonts w:ascii="Garamond" w:hAnsi="Garamond"/>
        </w:rPr>
        <w:t>Y es que el marco presupuestario del Programa incluye partidas especiales no contempladas en su reglamento</w:t>
      </w:r>
      <w:r w:rsidR="004547D3" w:rsidRPr="00F111CA">
        <w:rPr>
          <w:rFonts w:ascii="Garamond" w:hAnsi="Garamond"/>
        </w:rPr>
        <w:t>.</w:t>
      </w:r>
    </w:p>
    <w:p w:rsidR="004547D3" w:rsidRPr="00F111CA" w:rsidRDefault="004547D3" w:rsidP="004547D3">
      <w:pPr>
        <w:spacing w:after="120" w:line="240" w:lineRule="auto"/>
        <w:rPr>
          <w:rFonts w:ascii="Garamond" w:hAnsi="Garamond"/>
        </w:rPr>
      </w:pPr>
    </w:p>
    <w:p w:rsidR="004547D3" w:rsidRPr="00F111CA" w:rsidRDefault="00C666FC" w:rsidP="004547D3">
      <w:pPr>
        <w:spacing w:after="120" w:line="240" w:lineRule="auto"/>
        <w:jc w:val="center"/>
        <w:rPr>
          <w:rFonts w:ascii="Garamond" w:hAnsi="Garamond"/>
        </w:rPr>
      </w:pPr>
      <w:r w:rsidRPr="00F111CA">
        <w:rPr>
          <w:rFonts w:ascii="Garamond" w:hAnsi="Garamond"/>
        </w:rPr>
        <w:t>GRÁFICO N° 9</w:t>
      </w:r>
      <w:r w:rsidR="004547D3" w:rsidRPr="00F111CA">
        <w:rPr>
          <w:rFonts w:ascii="Garamond" w:hAnsi="Garamond"/>
        </w:rPr>
        <w:t>: RELACIÓN DE LA INVERSIÓN EFECTIVA EN TRADICIONAL Y EMERGENCIA</w:t>
      </w:r>
    </w:p>
    <w:p w:rsidR="004547D3" w:rsidRPr="00F111CA" w:rsidRDefault="00750E80" w:rsidP="004547D3">
      <w:pPr>
        <w:spacing w:after="120" w:line="240" w:lineRule="auto"/>
        <w:jc w:val="center"/>
        <w:rPr>
          <w:rFonts w:ascii="Garamond" w:hAnsi="Garamond"/>
        </w:rPr>
      </w:pPr>
      <w:r>
        <w:rPr>
          <w:noProof/>
          <w:lang w:eastAsia="es-CL"/>
        </w:rPr>
        <w:drawing>
          <wp:inline distT="0" distB="0" distL="0" distR="0" wp14:anchorId="654E7C56" wp14:editId="47ED61EB">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16EB" w:rsidRDefault="005116EB" w:rsidP="004547D3">
      <w:pPr>
        <w:spacing w:after="120" w:line="240" w:lineRule="auto"/>
        <w:jc w:val="both"/>
        <w:rPr>
          <w:rFonts w:ascii="Garamond" w:hAnsi="Garamond"/>
        </w:rPr>
      </w:pPr>
    </w:p>
    <w:p w:rsidR="000B2F48" w:rsidRPr="00F111CA" w:rsidRDefault="000B2F48" w:rsidP="004547D3">
      <w:pPr>
        <w:spacing w:after="120" w:line="240" w:lineRule="auto"/>
        <w:jc w:val="both"/>
        <w:rPr>
          <w:rFonts w:ascii="Garamond" w:hAnsi="Garamond"/>
        </w:rPr>
      </w:pPr>
      <w:r w:rsidRPr="00F111CA">
        <w:rPr>
          <w:rFonts w:ascii="Garamond" w:hAnsi="Garamond"/>
        </w:rPr>
        <w:t xml:space="preserve">La estructura de la inversión efectiva en Tradicional y Emergencia se muestra en el Gráfico N° </w:t>
      </w:r>
      <w:r w:rsidR="00C666FC" w:rsidRPr="00F111CA">
        <w:rPr>
          <w:rFonts w:ascii="Garamond" w:hAnsi="Garamond"/>
        </w:rPr>
        <w:t>10</w:t>
      </w:r>
      <w:r w:rsidRPr="00F111CA">
        <w:rPr>
          <w:rFonts w:ascii="Garamond" w:hAnsi="Garamond"/>
        </w:rPr>
        <w:t>.</w:t>
      </w:r>
    </w:p>
    <w:p w:rsidR="004547D3" w:rsidRPr="00F111CA" w:rsidRDefault="004547D3" w:rsidP="004547D3">
      <w:pPr>
        <w:spacing w:after="120" w:line="240" w:lineRule="auto"/>
        <w:rPr>
          <w:rFonts w:ascii="Garamond" w:hAnsi="Garamond"/>
        </w:rPr>
      </w:pPr>
      <w:r w:rsidRPr="00F111CA">
        <w:rPr>
          <w:rFonts w:ascii="Garamond" w:hAnsi="Garamond"/>
        </w:rPr>
        <w:br w:type="page"/>
      </w:r>
    </w:p>
    <w:p w:rsidR="000B2F48" w:rsidRPr="00F111CA" w:rsidRDefault="000B2F48" w:rsidP="004547D3">
      <w:pPr>
        <w:spacing w:after="120" w:line="240" w:lineRule="auto"/>
        <w:jc w:val="center"/>
        <w:rPr>
          <w:rFonts w:ascii="Garamond" w:hAnsi="Garamond"/>
        </w:rPr>
      </w:pPr>
      <w:r w:rsidRPr="00750E80">
        <w:rPr>
          <w:rFonts w:ascii="Garamond" w:hAnsi="Garamond"/>
        </w:rPr>
        <w:lastRenderedPageBreak/>
        <w:t xml:space="preserve">GRÁFICO N° </w:t>
      </w:r>
      <w:r w:rsidR="00C666FC" w:rsidRPr="00750E80">
        <w:rPr>
          <w:rFonts w:ascii="Garamond" w:hAnsi="Garamond"/>
        </w:rPr>
        <w:t>10</w:t>
      </w:r>
      <w:r w:rsidRPr="00750E80">
        <w:rPr>
          <w:rFonts w:ascii="Garamond" w:hAnsi="Garamond"/>
        </w:rPr>
        <w:t>: COMPARACIÓN ESTRUCTURA DE INVERSIÓN PMU TRADICIONAL Y PMU EMERGENCIA</w:t>
      </w:r>
      <w:r w:rsidR="006F7B37">
        <w:rPr>
          <w:rFonts w:ascii="Garamond" w:hAnsi="Garamond"/>
        </w:rPr>
        <w:t xml:space="preserve"> (sin FIE)</w:t>
      </w:r>
      <w:r w:rsidRPr="00750E80">
        <w:rPr>
          <w:rFonts w:ascii="Garamond" w:hAnsi="Garamond"/>
        </w:rPr>
        <w:t>, 2011-2013 Y ACUMULADO TRIENIO</w:t>
      </w:r>
    </w:p>
    <w:p w:rsidR="005116EB" w:rsidRDefault="000F1C81" w:rsidP="000F1C81">
      <w:pPr>
        <w:spacing w:after="120" w:line="240" w:lineRule="auto"/>
        <w:ind w:left="-567"/>
        <w:jc w:val="center"/>
        <w:rPr>
          <w:rFonts w:ascii="Garamond" w:hAnsi="Garamond"/>
        </w:rPr>
      </w:pPr>
      <w:r>
        <w:rPr>
          <w:noProof/>
          <w:lang w:eastAsia="es-CL"/>
        </w:rPr>
        <w:drawing>
          <wp:inline distT="0" distB="0" distL="0" distR="0" wp14:anchorId="055D01A8" wp14:editId="69F37E45">
            <wp:extent cx="6093460" cy="5391303"/>
            <wp:effectExtent l="0" t="0" r="254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72DB" w:rsidRPr="00F111CA" w:rsidRDefault="006F7B37" w:rsidP="00AB4DFC">
      <w:pPr>
        <w:spacing w:after="120" w:line="240" w:lineRule="auto"/>
        <w:jc w:val="both"/>
        <w:rPr>
          <w:rFonts w:ascii="Garamond" w:hAnsi="Garamond"/>
        </w:rPr>
      </w:pPr>
      <w:r>
        <w:rPr>
          <w:rFonts w:ascii="Garamond" w:hAnsi="Garamond"/>
        </w:rPr>
        <w:t xml:space="preserve">Al comparar las estructuras de la inversión efectiva en PMU Tradicional y PMU Emergencia (sin FIE), encontramos 3 áreas principales que tienen comportamientos claramente distintos </w:t>
      </w:r>
      <w:r w:rsidR="000D7CEC">
        <w:rPr>
          <w:rFonts w:ascii="Garamond" w:hAnsi="Garamond"/>
        </w:rPr>
        <w:t xml:space="preserve">(y medianamente regulares) </w:t>
      </w:r>
      <w:r>
        <w:rPr>
          <w:rFonts w:ascii="Garamond" w:hAnsi="Garamond"/>
        </w:rPr>
        <w:t>en una y otra línea: Construcción y mejoramiento de canchas deportivas tiene una participación en torno al 15 % en inversión de Emergencia y alrededor de 7 % en Tradicional; Áreas verdes ocupa un mayor espacio en la inversión Tradicional (entre el 7 y el 12 %) que en Emergenci</w:t>
      </w:r>
      <w:r w:rsidR="000D7CEC">
        <w:rPr>
          <w:rFonts w:ascii="Garamond" w:hAnsi="Garamond"/>
        </w:rPr>
        <w:t>a (entre 3</w:t>
      </w:r>
      <w:r>
        <w:rPr>
          <w:rFonts w:ascii="Garamond" w:hAnsi="Garamond"/>
        </w:rPr>
        <w:t xml:space="preserve"> y </w:t>
      </w:r>
      <w:r w:rsidR="000D7CEC">
        <w:rPr>
          <w:rFonts w:ascii="Garamond" w:hAnsi="Garamond"/>
        </w:rPr>
        <w:t>7 %); y Aceras, que tiene mayor participación en Tradicional (entre 15 y 19 %) que en Emergencia (entre 8 y 11 %).</w:t>
      </w:r>
    </w:p>
    <w:p w:rsidR="00410346" w:rsidRPr="00F111CA" w:rsidRDefault="00410346" w:rsidP="00AB4DFC">
      <w:pPr>
        <w:spacing w:after="120" w:line="240" w:lineRule="auto"/>
        <w:jc w:val="both"/>
        <w:rPr>
          <w:rFonts w:ascii="Garamond" w:hAnsi="Garamond"/>
        </w:rPr>
      </w:pPr>
    </w:p>
    <w:p w:rsidR="003D72DB" w:rsidRDefault="003D72DB">
      <w:pPr>
        <w:rPr>
          <w:rFonts w:ascii="Garamond" w:hAnsi="Garamond"/>
          <w:b/>
        </w:rPr>
      </w:pPr>
      <w:r>
        <w:rPr>
          <w:rFonts w:ascii="Garamond" w:hAnsi="Garamond"/>
          <w:b/>
        </w:rPr>
        <w:br w:type="page"/>
      </w:r>
    </w:p>
    <w:p w:rsidR="000D7CEC" w:rsidRDefault="003D72DB">
      <w:pPr>
        <w:rPr>
          <w:rFonts w:ascii="Garamond" w:hAnsi="Garamond"/>
          <w:b/>
        </w:rPr>
      </w:pPr>
      <w:r>
        <w:rPr>
          <w:noProof/>
          <w:lang w:eastAsia="es-CL"/>
        </w:rPr>
        <w:lastRenderedPageBreak/>
        <w:drawing>
          <wp:inline distT="0" distB="0" distL="0" distR="0" wp14:anchorId="3634C948" wp14:editId="221AAC4B">
            <wp:extent cx="5612130" cy="5427879"/>
            <wp:effectExtent l="0" t="0" r="7620" b="190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D7CEC">
        <w:rPr>
          <w:rFonts w:ascii="Garamond" w:hAnsi="Garamond"/>
          <w:b/>
        </w:rPr>
        <w:br w:type="page"/>
      </w:r>
    </w:p>
    <w:p w:rsidR="00556B51" w:rsidRPr="00F111CA" w:rsidRDefault="00754A68" w:rsidP="00AB4DFC">
      <w:pPr>
        <w:pStyle w:val="Prrafodelista"/>
        <w:numPr>
          <w:ilvl w:val="0"/>
          <w:numId w:val="20"/>
        </w:numPr>
        <w:spacing w:after="120" w:line="240" w:lineRule="auto"/>
        <w:contextualSpacing w:val="0"/>
        <w:rPr>
          <w:rFonts w:ascii="Garamond" w:hAnsi="Garamond"/>
          <w:b/>
        </w:rPr>
      </w:pPr>
      <w:r w:rsidRPr="00F111CA">
        <w:rPr>
          <w:rFonts w:ascii="Garamond" w:hAnsi="Garamond"/>
          <w:b/>
        </w:rPr>
        <w:lastRenderedPageBreak/>
        <w:t>INVERSIÓN FIE</w:t>
      </w:r>
    </w:p>
    <w:p w:rsidR="005C3177" w:rsidRPr="00F111CA" w:rsidRDefault="006C2D48" w:rsidP="00AB4DFC">
      <w:pPr>
        <w:spacing w:after="120" w:line="240" w:lineRule="auto"/>
        <w:jc w:val="both"/>
        <w:rPr>
          <w:rFonts w:ascii="Garamond" w:hAnsi="Garamond"/>
        </w:rPr>
      </w:pPr>
      <w:r w:rsidRPr="00F111CA">
        <w:rPr>
          <w:rFonts w:ascii="Garamond" w:hAnsi="Garamond"/>
        </w:rPr>
        <w:t>Como indica la Tabla N° 10, e</w:t>
      </w:r>
      <w:r w:rsidR="00E922AE" w:rsidRPr="00F111CA">
        <w:rPr>
          <w:rFonts w:ascii="Garamond" w:hAnsi="Garamond"/>
        </w:rPr>
        <w:t xml:space="preserve">n </w:t>
      </w:r>
      <w:r w:rsidR="00E410F8" w:rsidRPr="00F111CA">
        <w:rPr>
          <w:rFonts w:ascii="Garamond" w:hAnsi="Garamond"/>
        </w:rPr>
        <w:t>el</w:t>
      </w:r>
      <w:r w:rsidR="00B00023" w:rsidRPr="00F111CA">
        <w:rPr>
          <w:rFonts w:ascii="Garamond" w:hAnsi="Garamond"/>
        </w:rPr>
        <w:t xml:space="preserve"> </w:t>
      </w:r>
      <w:r w:rsidR="000E2BA2" w:rsidRPr="00F111CA">
        <w:rPr>
          <w:rFonts w:ascii="Garamond" w:hAnsi="Garamond"/>
        </w:rPr>
        <w:t>trienio 2011-2013</w:t>
      </w:r>
      <w:r w:rsidR="00E922AE" w:rsidRPr="00F111CA">
        <w:rPr>
          <w:rFonts w:ascii="Garamond" w:hAnsi="Garamond"/>
        </w:rPr>
        <w:t>, l</w:t>
      </w:r>
      <w:r w:rsidR="00B66452" w:rsidRPr="00F111CA">
        <w:rPr>
          <w:rFonts w:ascii="Garamond" w:hAnsi="Garamond"/>
        </w:rPr>
        <w:t xml:space="preserve">a inversión </w:t>
      </w:r>
      <w:r w:rsidRPr="00F111CA">
        <w:rPr>
          <w:rFonts w:ascii="Garamond" w:hAnsi="Garamond"/>
        </w:rPr>
        <w:t xml:space="preserve">acumulada del </w:t>
      </w:r>
      <w:r w:rsidR="00B66452" w:rsidRPr="00F111CA">
        <w:rPr>
          <w:rFonts w:ascii="Garamond" w:hAnsi="Garamond"/>
        </w:rPr>
        <w:t xml:space="preserve">FIE </w:t>
      </w:r>
      <w:r w:rsidRPr="00F111CA">
        <w:rPr>
          <w:rFonts w:ascii="Garamond" w:hAnsi="Garamond"/>
        </w:rPr>
        <w:t xml:space="preserve">fue de $ 42.419.716.910, lo que </w:t>
      </w:r>
      <w:r w:rsidR="00B66452" w:rsidRPr="00F111CA">
        <w:rPr>
          <w:rFonts w:ascii="Garamond" w:hAnsi="Garamond"/>
        </w:rPr>
        <w:t xml:space="preserve">representa </w:t>
      </w:r>
      <w:r w:rsidR="000E2BA2" w:rsidRPr="00F111CA">
        <w:rPr>
          <w:rFonts w:ascii="Garamond" w:hAnsi="Garamond"/>
        </w:rPr>
        <w:t>un 27,3</w:t>
      </w:r>
      <w:r w:rsidRPr="00F111CA">
        <w:rPr>
          <w:rFonts w:ascii="Garamond" w:hAnsi="Garamond"/>
        </w:rPr>
        <w:t xml:space="preserve"> </w:t>
      </w:r>
      <w:r w:rsidR="000E2BA2" w:rsidRPr="00F111CA">
        <w:rPr>
          <w:rFonts w:ascii="Garamond" w:hAnsi="Garamond"/>
        </w:rPr>
        <w:t>%</w:t>
      </w:r>
      <w:r w:rsidR="00B66452" w:rsidRPr="00F111CA">
        <w:rPr>
          <w:rFonts w:ascii="Garamond" w:hAnsi="Garamond"/>
        </w:rPr>
        <w:t xml:space="preserve"> </w:t>
      </w:r>
      <w:r w:rsidR="00510B87" w:rsidRPr="00F111CA">
        <w:rPr>
          <w:rFonts w:ascii="Garamond" w:hAnsi="Garamond"/>
        </w:rPr>
        <w:t xml:space="preserve">del total </w:t>
      </w:r>
      <w:r w:rsidR="00B66452" w:rsidRPr="00F111CA">
        <w:rPr>
          <w:rFonts w:ascii="Garamond" w:hAnsi="Garamond"/>
        </w:rPr>
        <w:t>PMU Emergencia</w:t>
      </w:r>
      <w:r w:rsidRPr="00F111CA">
        <w:rPr>
          <w:rFonts w:ascii="Garamond" w:hAnsi="Garamond"/>
        </w:rPr>
        <w:t xml:space="preserve"> del mismo período</w:t>
      </w:r>
      <w:r w:rsidR="00B66452" w:rsidRPr="00F111CA">
        <w:rPr>
          <w:rFonts w:ascii="Garamond" w:hAnsi="Garamond"/>
        </w:rPr>
        <w:t>.</w:t>
      </w:r>
      <w:r w:rsidR="00C6733C" w:rsidRPr="00F111CA">
        <w:rPr>
          <w:rFonts w:ascii="Garamond" w:hAnsi="Garamond"/>
        </w:rPr>
        <w:t xml:space="preserve"> La participación en cada año se muestra en el Gráfico N° 1</w:t>
      </w:r>
      <w:r w:rsidR="00C666FC" w:rsidRPr="00F111CA">
        <w:rPr>
          <w:rFonts w:ascii="Garamond" w:hAnsi="Garamond"/>
        </w:rPr>
        <w:t>1</w:t>
      </w:r>
      <w:r w:rsidR="00C6733C" w:rsidRPr="00F111CA">
        <w:rPr>
          <w:rFonts w:ascii="Garamond" w:hAnsi="Garamond"/>
        </w:rPr>
        <w:t>.</w:t>
      </w:r>
    </w:p>
    <w:p w:rsidR="00F01C6C" w:rsidRPr="00F111CA" w:rsidRDefault="00F01C6C" w:rsidP="00AB4DFC">
      <w:pPr>
        <w:spacing w:after="120" w:line="240" w:lineRule="auto"/>
        <w:rPr>
          <w:rFonts w:ascii="Garamond" w:hAnsi="Garamond"/>
        </w:rPr>
      </w:pPr>
    </w:p>
    <w:p w:rsidR="006C379E" w:rsidRPr="00F111CA" w:rsidRDefault="00C6733C" w:rsidP="00AB4DFC">
      <w:pPr>
        <w:spacing w:after="120" w:line="240" w:lineRule="auto"/>
        <w:jc w:val="center"/>
        <w:rPr>
          <w:rFonts w:ascii="Garamond" w:hAnsi="Garamond"/>
        </w:rPr>
      </w:pPr>
      <w:r w:rsidRPr="00F111CA">
        <w:rPr>
          <w:rFonts w:ascii="Garamond" w:hAnsi="Garamond"/>
        </w:rPr>
        <w:t>GRÁFICO N° 1</w:t>
      </w:r>
      <w:r w:rsidR="00C666FC" w:rsidRPr="00F111CA">
        <w:rPr>
          <w:rFonts w:ascii="Garamond" w:hAnsi="Garamond"/>
        </w:rPr>
        <w:t>1</w:t>
      </w:r>
      <w:r w:rsidRPr="00F111CA">
        <w:rPr>
          <w:rFonts w:ascii="Garamond" w:hAnsi="Garamond"/>
        </w:rPr>
        <w:t xml:space="preserve">: PARTICIPACIÓN DE FIE EN LA INVERSIÓN TOTAL PMU EMERGENCIA, </w:t>
      </w:r>
      <w:r w:rsidR="000E2BA2" w:rsidRPr="00F111CA">
        <w:rPr>
          <w:rFonts w:ascii="Garamond" w:hAnsi="Garamond"/>
        </w:rPr>
        <w:t>2011-2013 Y ACUMULADO TRIENIO</w:t>
      </w:r>
    </w:p>
    <w:p w:rsidR="00E317EA" w:rsidRPr="00F111CA" w:rsidRDefault="00384946" w:rsidP="00AB4DFC">
      <w:pPr>
        <w:spacing w:after="120" w:line="240" w:lineRule="auto"/>
        <w:jc w:val="center"/>
        <w:rPr>
          <w:rFonts w:ascii="Garamond" w:hAnsi="Garamond"/>
        </w:rPr>
      </w:pPr>
      <w:r w:rsidRPr="00F111CA">
        <w:rPr>
          <w:rFonts w:ascii="Garamond" w:hAnsi="Garamond"/>
          <w:noProof/>
          <w:lang w:eastAsia="es-CL"/>
        </w:rPr>
        <w:drawing>
          <wp:inline distT="0" distB="0" distL="0" distR="0" wp14:anchorId="1B3109AB" wp14:editId="434CACE7">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3177" w:rsidRPr="00F111CA" w:rsidRDefault="000369BF" w:rsidP="00AB4DFC">
      <w:pPr>
        <w:spacing w:after="120" w:line="240" w:lineRule="auto"/>
        <w:jc w:val="center"/>
        <w:rPr>
          <w:rFonts w:ascii="Garamond" w:hAnsi="Garamond"/>
        </w:rPr>
      </w:pPr>
      <w:r w:rsidRPr="00F111CA">
        <w:rPr>
          <w:rFonts w:ascii="Garamond" w:hAnsi="Garamond"/>
          <w:noProof/>
          <w:lang w:eastAsia="es-CL"/>
        </w:rPr>
        <w:t xml:space="preserve"> </w:t>
      </w:r>
    </w:p>
    <w:p w:rsidR="006C2D48" w:rsidRPr="00F111CA" w:rsidRDefault="006C2D48" w:rsidP="00AB4DFC">
      <w:pPr>
        <w:spacing w:after="120" w:line="240" w:lineRule="auto"/>
        <w:jc w:val="both"/>
        <w:rPr>
          <w:rFonts w:ascii="Garamond" w:hAnsi="Garamond"/>
        </w:rPr>
      </w:pPr>
      <w:r w:rsidRPr="00F111CA">
        <w:rPr>
          <w:rFonts w:ascii="Garamond" w:hAnsi="Garamond"/>
        </w:rPr>
        <w:t>Aunque en 2013 muestra una caída, en los años anteriores el FIE superaba el 30 % del PMU Emergencia total.</w:t>
      </w:r>
    </w:p>
    <w:p w:rsidR="004547D3" w:rsidRDefault="004547D3" w:rsidP="00AB4DFC">
      <w:pPr>
        <w:spacing w:after="120" w:line="240" w:lineRule="auto"/>
        <w:jc w:val="both"/>
        <w:rPr>
          <w:rFonts w:ascii="Garamond" w:hAnsi="Garamond"/>
        </w:rPr>
      </w:pPr>
      <w:r w:rsidRPr="00F111CA">
        <w:rPr>
          <w:rFonts w:ascii="Garamond" w:hAnsi="Garamond"/>
        </w:rPr>
        <w:t>Cabe notar que de la inversión realizada en el trienio en materia de educación (algo más de $ 45 mil millones de pesos entre escuelas y jardines infantiles), el FIE ocupa casi la totalidad, con 91,08 %.</w:t>
      </w:r>
      <w:r w:rsidR="006861A9" w:rsidRPr="00F111CA">
        <w:rPr>
          <w:rFonts w:ascii="Garamond" w:hAnsi="Garamond"/>
        </w:rPr>
        <w:t xml:space="preserve"> Algo similar ocurría con la demanda, en que el FIE representaba 85,79 % del Área Infraestructura Escuelas y Liceos.</w:t>
      </w:r>
    </w:p>
    <w:p w:rsidR="005116EB" w:rsidRPr="00F111CA" w:rsidRDefault="005116EB" w:rsidP="00AB4DFC">
      <w:pPr>
        <w:spacing w:after="120" w:line="240" w:lineRule="auto"/>
        <w:jc w:val="both"/>
        <w:rPr>
          <w:rFonts w:ascii="Garamond" w:hAnsi="Garamond"/>
        </w:rPr>
      </w:pPr>
    </w:p>
    <w:p w:rsidR="00F01C6C" w:rsidRPr="00F111CA" w:rsidRDefault="00F01C6C" w:rsidP="00AB4DFC">
      <w:pPr>
        <w:spacing w:after="120" w:line="240" w:lineRule="auto"/>
        <w:rPr>
          <w:rFonts w:ascii="Garamond" w:hAnsi="Garamond"/>
        </w:rPr>
      </w:pPr>
      <w:r w:rsidRPr="00F111CA">
        <w:rPr>
          <w:rFonts w:ascii="Garamond" w:hAnsi="Garamond"/>
        </w:rPr>
        <w:br w:type="page"/>
      </w:r>
    </w:p>
    <w:p w:rsidR="008D18C6" w:rsidRPr="00F111CA" w:rsidRDefault="003C32D7" w:rsidP="00F111CA">
      <w:pPr>
        <w:pStyle w:val="Prrafodelista"/>
        <w:numPr>
          <w:ilvl w:val="0"/>
          <w:numId w:val="18"/>
        </w:numPr>
        <w:spacing w:line="240" w:lineRule="auto"/>
        <w:contextualSpacing w:val="0"/>
        <w:jc w:val="both"/>
        <w:rPr>
          <w:rFonts w:ascii="Garamond" w:hAnsi="Garamond"/>
          <w:b/>
          <w:sz w:val="24"/>
          <w:szCs w:val="24"/>
        </w:rPr>
      </w:pPr>
      <w:r w:rsidRPr="00F111CA">
        <w:rPr>
          <w:rFonts w:ascii="Garamond" w:hAnsi="Garamond"/>
          <w:b/>
          <w:sz w:val="24"/>
          <w:szCs w:val="24"/>
        </w:rPr>
        <w:lastRenderedPageBreak/>
        <w:t>GENERACIÓN DE EMPLEO SEGÚN FUENTE (TRADICIONAL Y EMERGENCIA) Y SEGÚN FORMA DE EJECUCIÓN DE PROYECTOS (DIRECTA O VÍA LICITACIÓN</w:t>
      </w:r>
      <w:r w:rsidR="00AB4DFC" w:rsidRPr="00F111CA">
        <w:rPr>
          <w:rFonts w:ascii="Garamond" w:hAnsi="Garamond"/>
          <w:b/>
          <w:sz w:val="24"/>
          <w:szCs w:val="24"/>
        </w:rPr>
        <w:t>-CONTRATACIÓN</w:t>
      </w:r>
      <w:r w:rsidRPr="00F111CA">
        <w:rPr>
          <w:rFonts w:ascii="Garamond" w:hAnsi="Garamond"/>
          <w:b/>
          <w:sz w:val="24"/>
          <w:szCs w:val="24"/>
        </w:rPr>
        <w:t>)</w:t>
      </w:r>
    </w:p>
    <w:p w:rsidR="00AB4DFC" w:rsidRPr="00F111CA" w:rsidRDefault="00AB4DFC" w:rsidP="00AB4DFC">
      <w:pPr>
        <w:spacing w:after="120" w:line="240" w:lineRule="auto"/>
        <w:jc w:val="both"/>
        <w:rPr>
          <w:rFonts w:ascii="Garamond" w:hAnsi="Garamond"/>
        </w:rPr>
      </w:pPr>
    </w:p>
    <w:p w:rsidR="00C83656" w:rsidRPr="00F111CA" w:rsidRDefault="00C666FC" w:rsidP="001A2003">
      <w:pPr>
        <w:spacing w:after="120" w:line="240" w:lineRule="auto"/>
        <w:jc w:val="both"/>
        <w:rPr>
          <w:rFonts w:ascii="Garamond" w:hAnsi="Garamond"/>
        </w:rPr>
      </w:pPr>
      <w:r w:rsidRPr="00F111CA">
        <w:rPr>
          <w:rFonts w:ascii="Garamond" w:hAnsi="Garamond"/>
        </w:rPr>
        <w:t>La Tabla N° 10</w:t>
      </w:r>
      <w:r w:rsidR="00C83656" w:rsidRPr="00F111CA">
        <w:rPr>
          <w:rFonts w:ascii="Garamond" w:hAnsi="Garamond"/>
        </w:rPr>
        <w:t xml:space="preserve"> muestra</w:t>
      </w:r>
      <w:r w:rsidR="003C32D7" w:rsidRPr="00F111CA">
        <w:rPr>
          <w:rFonts w:ascii="Garamond" w:hAnsi="Garamond"/>
        </w:rPr>
        <w:t xml:space="preserve"> el</w:t>
      </w:r>
      <w:r w:rsidR="00C83656" w:rsidRPr="00F111CA">
        <w:rPr>
          <w:rFonts w:ascii="Garamond" w:hAnsi="Garamond"/>
        </w:rPr>
        <w:t xml:space="preserve"> promedio por proyecto de empleos generados según fuente, Tradicional y Emergencia, y según forma de ejecución (directa o vía licitación).</w:t>
      </w:r>
    </w:p>
    <w:p w:rsidR="00271D4E" w:rsidRDefault="003C32D7" w:rsidP="001A2003">
      <w:pPr>
        <w:spacing w:after="120" w:line="240" w:lineRule="auto"/>
        <w:jc w:val="both"/>
        <w:rPr>
          <w:rFonts w:ascii="Garamond" w:hAnsi="Garamond"/>
        </w:rPr>
      </w:pPr>
      <w:r w:rsidRPr="00F111CA">
        <w:rPr>
          <w:rFonts w:ascii="Garamond" w:hAnsi="Garamond"/>
        </w:rPr>
        <w:t>En este caso se trabajó con una tercera base de datos provista por el Programa, por lo que las cifras no coinciden con los análisis anteriores y sólo se utilizan para esta</w:t>
      </w:r>
      <w:r w:rsidR="001A2003">
        <w:rPr>
          <w:rFonts w:ascii="Garamond" w:hAnsi="Garamond"/>
        </w:rPr>
        <w:t xml:space="preserve">blecer estimaciones promedio de </w:t>
      </w:r>
      <w:r w:rsidRPr="00F111CA">
        <w:rPr>
          <w:rFonts w:ascii="Garamond" w:hAnsi="Garamond"/>
        </w:rPr>
        <w:t>generación de empleo.</w:t>
      </w:r>
    </w:p>
    <w:p w:rsidR="001A2003" w:rsidRPr="00F111CA" w:rsidRDefault="001A2003" w:rsidP="001A2003">
      <w:pPr>
        <w:spacing w:after="120" w:line="240" w:lineRule="auto"/>
        <w:jc w:val="both"/>
        <w:rPr>
          <w:rFonts w:ascii="Garamond" w:hAnsi="Garamond"/>
        </w:rPr>
      </w:pPr>
      <w:r>
        <w:rPr>
          <w:rFonts w:ascii="Garamond" w:hAnsi="Garamond"/>
        </w:rPr>
        <w:t>Se trata de empleos proyectados en el diseño de los proyectos, dato que no necesariamente coincide con el empleo real final.</w:t>
      </w:r>
    </w:p>
    <w:p w:rsidR="00AB4DFC" w:rsidRPr="00F111CA" w:rsidRDefault="00AB4DFC" w:rsidP="00AB4DFC">
      <w:pPr>
        <w:spacing w:after="120" w:line="240" w:lineRule="auto"/>
        <w:rPr>
          <w:rFonts w:ascii="Garamond" w:hAnsi="Garamond"/>
        </w:rPr>
      </w:pPr>
    </w:p>
    <w:p w:rsidR="00C83656" w:rsidRPr="00F111CA" w:rsidRDefault="00C666FC" w:rsidP="00AB4DFC">
      <w:pPr>
        <w:spacing w:after="120" w:line="240" w:lineRule="auto"/>
        <w:jc w:val="center"/>
        <w:rPr>
          <w:rFonts w:ascii="Garamond" w:hAnsi="Garamond"/>
        </w:rPr>
      </w:pPr>
      <w:r w:rsidRPr="00F111CA">
        <w:rPr>
          <w:rFonts w:ascii="Garamond" w:hAnsi="Garamond"/>
        </w:rPr>
        <w:t>TABLA N° 10</w:t>
      </w:r>
      <w:r w:rsidR="00C83656" w:rsidRPr="00F111CA">
        <w:rPr>
          <w:rFonts w:ascii="Garamond" w:hAnsi="Garamond"/>
        </w:rPr>
        <w:t>: NÚMERO DE PROYECTOS Y PROMEDIO DE EMPLEO POR PROYECTO SEGÚN FUENTE Y SEGÚN TIPO DE EJECUCIÓN, 2011-2013 Y TRIENIO</w:t>
      </w:r>
    </w:p>
    <w:tbl>
      <w:tblPr>
        <w:tblW w:w="10343" w:type="dxa"/>
        <w:jc w:val="center"/>
        <w:tblCellMar>
          <w:left w:w="70" w:type="dxa"/>
          <w:right w:w="70" w:type="dxa"/>
        </w:tblCellMar>
        <w:tblLook w:val="04A0" w:firstRow="1" w:lastRow="0" w:firstColumn="1" w:lastColumn="0" w:noHBand="0" w:noVBand="1"/>
      </w:tblPr>
      <w:tblGrid>
        <w:gridCol w:w="1506"/>
        <w:gridCol w:w="1183"/>
        <w:gridCol w:w="1106"/>
        <w:gridCol w:w="1183"/>
        <w:gridCol w:w="1106"/>
        <w:gridCol w:w="1183"/>
        <w:gridCol w:w="1106"/>
        <w:gridCol w:w="1183"/>
        <w:gridCol w:w="1160"/>
      </w:tblGrid>
      <w:tr w:rsidR="00C83656" w:rsidRPr="005116EB" w:rsidTr="00AB4DFC">
        <w:trPr>
          <w:trHeight w:val="337"/>
          <w:jc w:val="center"/>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hAnsi="Garamond"/>
                <w:sz w:val="18"/>
                <w:szCs w:val="18"/>
              </w:rPr>
              <w:t xml:space="preserve"> </w:t>
            </w:r>
            <w:r w:rsidRPr="005116EB">
              <w:rPr>
                <w:rFonts w:ascii="Garamond" w:eastAsia="Times New Roman" w:hAnsi="Garamond" w:cs="Times New Roman"/>
                <w:color w:val="000000"/>
                <w:sz w:val="18"/>
                <w:szCs w:val="18"/>
                <w:lang w:eastAsia="es-CL"/>
              </w:rPr>
              <w:t> </w:t>
            </w:r>
          </w:p>
        </w:tc>
        <w:tc>
          <w:tcPr>
            <w:tcW w:w="4368"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2011</w:t>
            </w:r>
          </w:p>
        </w:tc>
        <w:tc>
          <w:tcPr>
            <w:tcW w:w="4469"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2012</w:t>
            </w:r>
          </w:p>
        </w:tc>
      </w:tr>
      <w:tr w:rsidR="00C83656" w:rsidRPr="005116EB" w:rsidTr="00AB4DFC">
        <w:trPr>
          <w:trHeight w:val="337"/>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2175"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TRADICIONAL</w:t>
            </w:r>
          </w:p>
        </w:tc>
        <w:tc>
          <w:tcPr>
            <w:tcW w:w="2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EMERGENCIA</w:t>
            </w:r>
          </w:p>
        </w:tc>
        <w:tc>
          <w:tcPr>
            <w:tcW w:w="2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TRADICIONAL</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EMERGENCIA</w:t>
            </w:r>
          </w:p>
        </w:tc>
      </w:tr>
      <w:tr w:rsidR="00C83656" w:rsidRPr="005116EB" w:rsidTr="00AB4DFC">
        <w:trPr>
          <w:trHeight w:val="337"/>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067"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160"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r>
      <w:tr w:rsidR="00C83656" w:rsidRPr="005116EB" w:rsidTr="00AB4DFC">
        <w:trPr>
          <w:trHeight w:val="337"/>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Administración Directa</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17</w:t>
            </w:r>
          </w:p>
        </w:tc>
        <w:tc>
          <w:tcPr>
            <w:tcW w:w="1067"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15,35</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31</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13,74</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93</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15,30</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136</w:t>
            </w:r>
          </w:p>
        </w:tc>
        <w:tc>
          <w:tcPr>
            <w:tcW w:w="1160"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34,93</w:t>
            </w:r>
          </w:p>
        </w:tc>
      </w:tr>
      <w:tr w:rsidR="00C83656" w:rsidRPr="005116EB" w:rsidTr="00AB4DFC">
        <w:trPr>
          <w:trHeight w:val="337"/>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Licitación y Contratación</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8</w:t>
            </w:r>
          </w:p>
        </w:tc>
        <w:tc>
          <w:tcPr>
            <w:tcW w:w="1067"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70</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10,54</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52</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9,06</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435</w:t>
            </w:r>
          </w:p>
        </w:tc>
        <w:tc>
          <w:tcPr>
            <w:tcW w:w="1160"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11,97</w:t>
            </w:r>
          </w:p>
        </w:tc>
      </w:tr>
      <w:tr w:rsidR="00C83656" w:rsidRPr="005116EB" w:rsidTr="00AB4DFC">
        <w:trPr>
          <w:trHeight w:val="337"/>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No Definido</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67"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160"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r>
      <w:tr w:rsidR="00C83656" w:rsidRPr="005116EB" w:rsidTr="00AB4DFC">
        <w:trPr>
          <w:trHeight w:val="337"/>
          <w:jc w:val="center"/>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Total general</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25</w:t>
            </w:r>
          </w:p>
        </w:tc>
        <w:tc>
          <w:tcPr>
            <w:tcW w:w="1067"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13,64</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101</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11,52</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145</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13,06</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571</w:t>
            </w:r>
          </w:p>
        </w:tc>
        <w:tc>
          <w:tcPr>
            <w:tcW w:w="1160"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17,44</w:t>
            </w:r>
          </w:p>
        </w:tc>
      </w:tr>
    </w:tbl>
    <w:p w:rsidR="00C83656" w:rsidRPr="00F111CA" w:rsidRDefault="00C83656" w:rsidP="00AB4DFC">
      <w:pPr>
        <w:spacing w:after="120" w:line="240" w:lineRule="auto"/>
        <w:jc w:val="center"/>
        <w:rPr>
          <w:rFonts w:ascii="Garamond" w:hAnsi="Garamond"/>
        </w:rPr>
      </w:pPr>
    </w:p>
    <w:p w:rsidR="00C83656" w:rsidRPr="00F111CA" w:rsidRDefault="00C83656" w:rsidP="00AB4DFC">
      <w:pPr>
        <w:spacing w:after="120" w:line="240" w:lineRule="auto"/>
        <w:jc w:val="center"/>
        <w:rPr>
          <w:rFonts w:ascii="Garamond" w:hAnsi="Garamond"/>
        </w:rPr>
      </w:pPr>
      <w:r w:rsidRPr="00F111CA">
        <w:rPr>
          <w:rFonts w:ascii="Garamond" w:hAnsi="Garamond"/>
        </w:rPr>
        <w:t xml:space="preserve">TABLA N° </w:t>
      </w:r>
      <w:r w:rsidR="00C666FC" w:rsidRPr="00F111CA">
        <w:rPr>
          <w:rFonts w:ascii="Garamond" w:hAnsi="Garamond"/>
        </w:rPr>
        <w:t>10</w:t>
      </w:r>
      <w:r w:rsidRPr="00F111CA">
        <w:rPr>
          <w:rFonts w:ascii="Garamond" w:hAnsi="Garamond"/>
        </w:rPr>
        <w:t>, CONTINUACIÓN</w:t>
      </w:r>
    </w:p>
    <w:tbl>
      <w:tblPr>
        <w:tblW w:w="10343" w:type="dxa"/>
        <w:jc w:val="center"/>
        <w:tblCellMar>
          <w:left w:w="70" w:type="dxa"/>
          <w:right w:w="70" w:type="dxa"/>
        </w:tblCellMar>
        <w:tblLook w:val="04A0" w:firstRow="1" w:lastRow="0" w:firstColumn="1" w:lastColumn="0" w:noHBand="0" w:noVBand="1"/>
      </w:tblPr>
      <w:tblGrid>
        <w:gridCol w:w="1488"/>
        <w:gridCol w:w="1183"/>
        <w:gridCol w:w="1106"/>
        <w:gridCol w:w="1183"/>
        <w:gridCol w:w="1106"/>
        <w:gridCol w:w="1183"/>
        <w:gridCol w:w="1106"/>
        <w:gridCol w:w="1183"/>
        <w:gridCol w:w="1134"/>
      </w:tblGrid>
      <w:tr w:rsidR="00C83656" w:rsidRPr="005116EB" w:rsidTr="00AB4DFC">
        <w:trPr>
          <w:trHeight w:val="209"/>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4386"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2013</w:t>
            </w:r>
          </w:p>
        </w:tc>
        <w:tc>
          <w:tcPr>
            <w:tcW w:w="4469" w:type="dxa"/>
            <w:gridSpan w:val="4"/>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TRIENIO</w:t>
            </w:r>
          </w:p>
        </w:tc>
      </w:tr>
      <w:tr w:rsidR="00C83656" w:rsidRPr="005116EB" w:rsidTr="00AB4DFC">
        <w:trPr>
          <w:trHeight w:val="209"/>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2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TRADICIONAL</w:t>
            </w:r>
          </w:p>
        </w:tc>
        <w:tc>
          <w:tcPr>
            <w:tcW w:w="21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EMERGENCIA</w:t>
            </w:r>
          </w:p>
        </w:tc>
        <w:tc>
          <w:tcPr>
            <w:tcW w:w="2201"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TRADICIONAL</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center"/>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EMERGENCIA</w:t>
            </w:r>
          </w:p>
        </w:tc>
      </w:tr>
      <w:tr w:rsidR="00C83656" w:rsidRPr="005116EB" w:rsidTr="00AB4DFC">
        <w:trPr>
          <w:trHeight w:val="209"/>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085"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 PROYECTOS</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PROMEDIO EMPLEO</w:t>
            </w:r>
          </w:p>
        </w:tc>
      </w:tr>
      <w:tr w:rsidR="00C83656" w:rsidRPr="005116EB" w:rsidTr="00AB4DFC">
        <w:trPr>
          <w:trHeight w:val="209"/>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Administración Directa</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179</w:t>
            </w:r>
          </w:p>
        </w:tc>
        <w:tc>
          <w:tcPr>
            <w:tcW w:w="1085"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24,04</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195</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26,87</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459</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24,72</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483</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31,09</w:t>
            </w:r>
          </w:p>
        </w:tc>
      </w:tr>
      <w:tr w:rsidR="00C83656" w:rsidRPr="005116EB" w:rsidTr="00AB4DFC">
        <w:trPr>
          <w:trHeight w:val="209"/>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Licitación y Contratación</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150</w:t>
            </w:r>
          </w:p>
        </w:tc>
        <w:tc>
          <w:tcPr>
            <w:tcW w:w="1085"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36,89</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995</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10,23</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216</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28,35</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1783</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10,34</w:t>
            </w:r>
          </w:p>
        </w:tc>
      </w:tr>
      <w:tr w:rsidR="00C83656" w:rsidRPr="005116EB" w:rsidTr="00AB4DFC">
        <w:trPr>
          <w:trHeight w:val="209"/>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No Definido</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3</w:t>
            </w:r>
          </w:p>
        </w:tc>
        <w:tc>
          <w:tcPr>
            <w:tcW w:w="1085"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4,67</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13</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8,23</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82</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11,99</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212</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15,43</w:t>
            </w:r>
          </w:p>
        </w:tc>
      </w:tr>
      <w:tr w:rsidR="00C83656" w:rsidRPr="005116EB" w:rsidTr="00AB4DFC">
        <w:trPr>
          <w:trHeight w:val="209"/>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Total general</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332</w:t>
            </w:r>
          </w:p>
        </w:tc>
        <w:tc>
          <w:tcPr>
            <w:tcW w:w="1085"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29,67</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1203</w:t>
            </w:r>
          </w:p>
        </w:tc>
        <w:tc>
          <w:tcPr>
            <w:tcW w:w="1059"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12,90</w:t>
            </w:r>
          </w:p>
        </w:tc>
        <w:tc>
          <w:tcPr>
            <w:tcW w:w="1108"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757</w:t>
            </w:r>
          </w:p>
        </w:tc>
        <w:tc>
          <w:tcPr>
            <w:tcW w:w="1093"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24,38</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2478</w:t>
            </w:r>
          </w:p>
        </w:tc>
        <w:tc>
          <w:tcPr>
            <w:tcW w:w="1134" w:type="dxa"/>
            <w:tcBorders>
              <w:top w:val="nil"/>
              <w:left w:val="nil"/>
              <w:bottom w:val="single" w:sz="4" w:space="0" w:color="auto"/>
              <w:right w:val="single" w:sz="4" w:space="0" w:color="auto"/>
            </w:tcBorders>
            <w:shd w:val="clear" w:color="auto" w:fill="auto"/>
            <w:noWrap/>
            <w:vAlign w:val="bottom"/>
            <w:hideMark/>
          </w:tcPr>
          <w:p w:rsidR="00C83656" w:rsidRPr="005116EB" w:rsidRDefault="00C83656" w:rsidP="00440A9B">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14,82</w:t>
            </w:r>
          </w:p>
        </w:tc>
      </w:tr>
    </w:tbl>
    <w:p w:rsidR="00C83656" w:rsidRPr="00F111CA" w:rsidRDefault="00C83656" w:rsidP="00AB4DFC">
      <w:pPr>
        <w:spacing w:after="120" w:line="240" w:lineRule="auto"/>
        <w:jc w:val="both"/>
        <w:rPr>
          <w:rFonts w:ascii="Garamond" w:hAnsi="Garamond"/>
        </w:rPr>
      </w:pPr>
    </w:p>
    <w:p w:rsidR="00C83656" w:rsidRPr="00F111CA" w:rsidRDefault="003C32D7" w:rsidP="00AB4DFC">
      <w:pPr>
        <w:spacing w:after="120" w:line="240" w:lineRule="auto"/>
        <w:jc w:val="both"/>
        <w:rPr>
          <w:rFonts w:ascii="Garamond" w:hAnsi="Garamond"/>
        </w:rPr>
      </w:pPr>
      <w:r w:rsidRPr="00F111CA">
        <w:rPr>
          <w:rFonts w:ascii="Garamond" w:hAnsi="Garamond"/>
        </w:rPr>
        <w:t xml:space="preserve">Al </w:t>
      </w:r>
      <w:r w:rsidR="00AB4DFC" w:rsidRPr="00F111CA">
        <w:rPr>
          <w:rFonts w:ascii="Garamond" w:hAnsi="Garamond"/>
        </w:rPr>
        <w:t>observar</w:t>
      </w:r>
      <w:r w:rsidRPr="00F111CA">
        <w:rPr>
          <w:rFonts w:ascii="Garamond" w:hAnsi="Garamond"/>
        </w:rPr>
        <w:t xml:space="preserve"> los datos</w:t>
      </w:r>
      <w:r w:rsidR="00C83656" w:rsidRPr="00F111CA">
        <w:rPr>
          <w:rFonts w:ascii="Garamond" w:hAnsi="Garamond"/>
        </w:rPr>
        <w:t xml:space="preserve"> encontramos que el promedio </w:t>
      </w:r>
      <w:r w:rsidR="00AB4DFC" w:rsidRPr="00F111CA">
        <w:rPr>
          <w:rFonts w:ascii="Garamond" w:hAnsi="Garamond"/>
        </w:rPr>
        <w:t xml:space="preserve">de </w:t>
      </w:r>
      <w:r w:rsidR="00C83656" w:rsidRPr="00F111CA">
        <w:rPr>
          <w:rFonts w:ascii="Garamond" w:hAnsi="Garamond"/>
        </w:rPr>
        <w:t>empleos por proyecto</w:t>
      </w:r>
      <w:r w:rsidRPr="00F111CA">
        <w:rPr>
          <w:rFonts w:ascii="Garamond" w:hAnsi="Garamond"/>
        </w:rPr>
        <w:t>, en PMU Tradicional,</w:t>
      </w:r>
      <w:r w:rsidR="00C83656" w:rsidRPr="00F111CA">
        <w:rPr>
          <w:rFonts w:ascii="Garamond" w:hAnsi="Garamond"/>
        </w:rPr>
        <w:t xml:space="preserve"> es algo superior en </w:t>
      </w:r>
      <w:r w:rsidRPr="00F111CA">
        <w:rPr>
          <w:rFonts w:ascii="Garamond" w:hAnsi="Garamond"/>
        </w:rPr>
        <w:t xml:space="preserve">el caso de </w:t>
      </w:r>
      <w:r w:rsidR="00C83656" w:rsidRPr="00F111CA">
        <w:rPr>
          <w:rFonts w:ascii="Garamond" w:hAnsi="Garamond"/>
        </w:rPr>
        <w:t xml:space="preserve">ejecución por licitación: 28,35 empleos en esta modalidad, contra 24,72 en la modalidad administración directa. En el caso de PMU Emergencia, la relación es inversa y muy distintos los dos datos: el promedio de empleos por proyecto </w:t>
      </w:r>
      <w:r w:rsidRPr="00F111CA">
        <w:rPr>
          <w:rFonts w:ascii="Garamond" w:hAnsi="Garamond"/>
        </w:rPr>
        <w:t>de</w:t>
      </w:r>
      <w:r w:rsidR="00C83656" w:rsidRPr="00F111CA">
        <w:rPr>
          <w:rFonts w:ascii="Garamond" w:hAnsi="Garamond"/>
        </w:rPr>
        <w:t xml:space="preserve"> administración directa es de 31,09, mientras que para </w:t>
      </w:r>
      <w:r w:rsidRPr="00F111CA">
        <w:rPr>
          <w:rFonts w:ascii="Garamond" w:hAnsi="Garamond"/>
        </w:rPr>
        <w:t xml:space="preserve">proyectos ejecutados vía </w:t>
      </w:r>
      <w:r w:rsidR="00C83656" w:rsidRPr="00F111CA">
        <w:rPr>
          <w:rFonts w:ascii="Garamond" w:hAnsi="Garamond"/>
        </w:rPr>
        <w:t>licitación y contratación</w:t>
      </w:r>
      <w:r w:rsidRPr="00F111CA">
        <w:rPr>
          <w:rFonts w:ascii="Garamond" w:hAnsi="Garamond"/>
        </w:rPr>
        <w:t xml:space="preserve"> ese promedio</w:t>
      </w:r>
      <w:r w:rsidR="00C83656" w:rsidRPr="00F111CA">
        <w:rPr>
          <w:rFonts w:ascii="Garamond" w:hAnsi="Garamond"/>
        </w:rPr>
        <w:t xml:space="preserve"> es de 10,43, esto es, menos de un tercio de los empleos que los proyectos de administración directa.</w:t>
      </w:r>
    </w:p>
    <w:p w:rsidR="00C83656" w:rsidRPr="00F111CA" w:rsidRDefault="003C32D7" w:rsidP="00AB4DFC">
      <w:pPr>
        <w:spacing w:after="120" w:line="240" w:lineRule="auto"/>
        <w:jc w:val="both"/>
        <w:rPr>
          <w:rFonts w:ascii="Garamond" w:hAnsi="Garamond"/>
        </w:rPr>
      </w:pPr>
      <w:r w:rsidRPr="00F111CA">
        <w:rPr>
          <w:rFonts w:ascii="Garamond" w:hAnsi="Garamond"/>
        </w:rPr>
        <w:lastRenderedPageBreak/>
        <w:t>La información</w:t>
      </w:r>
      <w:r w:rsidR="00C83656" w:rsidRPr="00F111CA">
        <w:rPr>
          <w:rFonts w:ascii="Garamond" w:hAnsi="Garamond"/>
        </w:rPr>
        <w:t xml:space="preserve"> está representad</w:t>
      </w:r>
      <w:r w:rsidRPr="00F111CA">
        <w:rPr>
          <w:rFonts w:ascii="Garamond" w:hAnsi="Garamond"/>
        </w:rPr>
        <w:t>a</w:t>
      </w:r>
      <w:r w:rsidR="00C83656" w:rsidRPr="00F111CA">
        <w:rPr>
          <w:rFonts w:ascii="Garamond" w:hAnsi="Garamond"/>
        </w:rPr>
        <w:t xml:space="preserve"> en el Gráfico N° 1</w:t>
      </w:r>
      <w:r w:rsidR="00C666FC" w:rsidRPr="00F111CA">
        <w:rPr>
          <w:rFonts w:ascii="Garamond" w:hAnsi="Garamond"/>
        </w:rPr>
        <w:t>2</w:t>
      </w:r>
      <w:r w:rsidR="00C83656" w:rsidRPr="00F111CA">
        <w:rPr>
          <w:rFonts w:ascii="Garamond" w:hAnsi="Garamond"/>
        </w:rPr>
        <w:t>.</w:t>
      </w:r>
    </w:p>
    <w:p w:rsidR="00C83656" w:rsidRPr="00F111CA" w:rsidRDefault="00C83656" w:rsidP="00AB4DFC">
      <w:pPr>
        <w:spacing w:after="120" w:line="240" w:lineRule="auto"/>
        <w:rPr>
          <w:rFonts w:ascii="Garamond" w:hAnsi="Garamond"/>
        </w:rPr>
      </w:pPr>
    </w:p>
    <w:p w:rsidR="00C83656" w:rsidRPr="00F111CA" w:rsidRDefault="00C83656" w:rsidP="00AB4DFC">
      <w:pPr>
        <w:spacing w:after="120" w:line="240" w:lineRule="auto"/>
        <w:jc w:val="both"/>
        <w:rPr>
          <w:rFonts w:ascii="Garamond" w:hAnsi="Garamond"/>
          <w:b/>
        </w:rPr>
      </w:pPr>
      <w:r w:rsidRPr="00F111CA">
        <w:rPr>
          <w:rFonts w:ascii="Garamond" w:hAnsi="Garamond"/>
        </w:rPr>
        <w:t>GRÁFICO N° 1</w:t>
      </w:r>
      <w:r w:rsidR="00C666FC" w:rsidRPr="00F111CA">
        <w:rPr>
          <w:rFonts w:ascii="Garamond" w:hAnsi="Garamond"/>
        </w:rPr>
        <w:t>2</w:t>
      </w:r>
      <w:r w:rsidRPr="00F111CA">
        <w:rPr>
          <w:rFonts w:ascii="Garamond" w:hAnsi="Garamond"/>
        </w:rPr>
        <w:t>: PROMEDIO DE EMPLEOS GENERADOS POR PROYECTOS PMU 2011-2013 Y TRIENIO</w:t>
      </w:r>
    </w:p>
    <w:p w:rsidR="00C83656" w:rsidRPr="00F111CA" w:rsidRDefault="00C83656" w:rsidP="00AB4DFC">
      <w:pPr>
        <w:spacing w:after="120" w:line="240" w:lineRule="auto"/>
        <w:ind w:left="-567"/>
        <w:rPr>
          <w:rFonts w:ascii="Garamond" w:hAnsi="Garamond"/>
          <w:b/>
        </w:rPr>
      </w:pPr>
      <w:r w:rsidRPr="00F111CA">
        <w:rPr>
          <w:rFonts w:ascii="Garamond" w:hAnsi="Garamond"/>
          <w:noProof/>
          <w:lang w:eastAsia="es-CL"/>
        </w:rPr>
        <w:drawing>
          <wp:inline distT="0" distB="0" distL="0" distR="0" wp14:anchorId="1F7BDA44" wp14:editId="6D711594">
            <wp:extent cx="6424551" cy="3230089"/>
            <wp:effectExtent l="19050" t="19050" r="14605" b="27940"/>
            <wp:docPr id="259" name="Gráfico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3656" w:rsidRPr="00F111CA" w:rsidRDefault="00C83656" w:rsidP="00AB4DFC">
      <w:pPr>
        <w:spacing w:after="120" w:line="240" w:lineRule="auto"/>
        <w:jc w:val="both"/>
        <w:rPr>
          <w:rFonts w:ascii="Garamond" w:hAnsi="Garamond"/>
        </w:rPr>
      </w:pPr>
    </w:p>
    <w:p w:rsidR="00C83656" w:rsidRPr="00F111CA" w:rsidRDefault="00C83656" w:rsidP="00AB4DFC">
      <w:pPr>
        <w:spacing w:after="120" w:line="240" w:lineRule="auto"/>
        <w:jc w:val="both"/>
        <w:rPr>
          <w:rFonts w:ascii="Garamond" w:hAnsi="Garamond"/>
        </w:rPr>
      </w:pPr>
      <w:r w:rsidRPr="00F111CA">
        <w:rPr>
          <w:rFonts w:ascii="Garamond" w:hAnsi="Garamond"/>
        </w:rPr>
        <w:t>Cuando se revisan los datos por año, se observa que en 2011 y 2012 los proyectos por administración directa empleaban a más trabajadores que los proyectos licitados o contratados, en las dos fuentes, Tradicional y Emergencia. Pero en 2013 la relación se invierte para el PMU Trad</w:t>
      </w:r>
      <w:r w:rsidR="00AB4DFC" w:rsidRPr="00F111CA">
        <w:rPr>
          <w:rFonts w:ascii="Garamond" w:hAnsi="Garamond"/>
        </w:rPr>
        <w:t>icional, pasando la licitación-</w:t>
      </w:r>
      <w:r w:rsidRPr="00F111CA">
        <w:rPr>
          <w:rFonts w:ascii="Garamond" w:hAnsi="Garamond"/>
        </w:rPr>
        <w:t>contratación a genera</w:t>
      </w:r>
      <w:r w:rsidR="00D22FC0" w:rsidRPr="00F111CA">
        <w:rPr>
          <w:rFonts w:ascii="Garamond" w:hAnsi="Garamond"/>
        </w:rPr>
        <w:t>r</w:t>
      </w:r>
      <w:r w:rsidRPr="00F111CA">
        <w:rPr>
          <w:rFonts w:ascii="Garamond" w:hAnsi="Garamond"/>
        </w:rPr>
        <w:t xml:space="preserve"> más empleo que la administración directa. En efecto, la empleabilidad de los proyectos Tradicional por licitación o contratación se dispara de 9,1 empleos en 2012 a 36,9 empleos en 2013. </w:t>
      </w:r>
    </w:p>
    <w:p w:rsidR="00C83656" w:rsidRPr="00F111CA" w:rsidRDefault="00C83656" w:rsidP="00AB4DFC">
      <w:pPr>
        <w:spacing w:after="120" w:line="240" w:lineRule="auto"/>
        <w:jc w:val="both"/>
        <w:rPr>
          <w:rFonts w:ascii="Garamond" w:hAnsi="Garamond"/>
        </w:rPr>
      </w:pPr>
      <w:r w:rsidRPr="00F111CA">
        <w:rPr>
          <w:rFonts w:ascii="Garamond" w:hAnsi="Garamond"/>
        </w:rPr>
        <w:t>Es decir, la empleabilidad en PMU Tradicional, por administración directa y por licitación o contratación, tiene demasiada variación de un año a otro como para establecer una tendencia. Sólo se puede hablar de tendencia en PMU Emergencia, en que es la administración directa aquella en que los proyectos generan mayor número de puestos de trabajo.</w:t>
      </w:r>
    </w:p>
    <w:p w:rsidR="00C83656" w:rsidRPr="00F111CA" w:rsidRDefault="00C83656" w:rsidP="00AB4DFC">
      <w:pPr>
        <w:spacing w:after="120" w:line="240" w:lineRule="auto"/>
        <w:rPr>
          <w:rFonts w:ascii="Garamond" w:hAnsi="Garamond"/>
          <w:b/>
          <w:sz w:val="36"/>
        </w:rPr>
      </w:pPr>
    </w:p>
    <w:p w:rsidR="006046D3" w:rsidRPr="00F111CA" w:rsidRDefault="006046D3" w:rsidP="00AB4DFC">
      <w:pPr>
        <w:spacing w:after="120" w:line="240" w:lineRule="auto"/>
        <w:rPr>
          <w:rFonts w:ascii="Garamond" w:hAnsi="Garamond"/>
          <w:b/>
          <w:sz w:val="36"/>
        </w:rPr>
      </w:pPr>
      <w:r w:rsidRPr="00F111CA">
        <w:rPr>
          <w:rFonts w:ascii="Garamond" w:hAnsi="Garamond"/>
          <w:b/>
          <w:sz w:val="36"/>
        </w:rPr>
        <w:br w:type="page"/>
      </w:r>
    </w:p>
    <w:p w:rsidR="006046D3" w:rsidRPr="00F111CA" w:rsidRDefault="006046D3" w:rsidP="00AB4DFC">
      <w:pPr>
        <w:pStyle w:val="Prrafodelista"/>
        <w:numPr>
          <w:ilvl w:val="0"/>
          <w:numId w:val="18"/>
        </w:numPr>
        <w:spacing w:after="120" w:line="240" w:lineRule="auto"/>
        <w:contextualSpacing w:val="0"/>
        <w:rPr>
          <w:rFonts w:ascii="Garamond" w:hAnsi="Garamond"/>
          <w:b/>
          <w:sz w:val="24"/>
          <w:szCs w:val="24"/>
        </w:rPr>
      </w:pPr>
      <w:r w:rsidRPr="00F111CA">
        <w:rPr>
          <w:rFonts w:ascii="Garamond" w:hAnsi="Garamond"/>
          <w:b/>
          <w:sz w:val="24"/>
          <w:szCs w:val="24"/>
        </w:rPr>
        <w:lastRenderedPageBreak/>
        <w:t>CONCLUSION</w:t>
      </w:r>
      <w:r w:rsidR="00AB4DFC" w:rsidRPr="00F111CA">
        <w:rPr>
          <w:rFonts w:ascii="Garamond" w:hAnsi="Garamond"/>
          <w:b/>
          <w:sz w:val="24"/>
          <w:szCs w:val="24"/>
        </w:rPr>
        <w:t>ES</w:t>
      </w:r>
    </w:p>
    <w:p w:rsidR="00EF1772" w:rsidRPr="00F111CA" w:rsidRDefault="00EF1772" w:rsidP="00AB4DFC">
      <w:pPr>
        <w:spacing w:after="120" w:line="240" w:lineRule="auto"/>
        <w:jc w:val="both"/>
        <w:rPr>
          <w:rFonts w:ascii="Garamond" w:hAnsi="Garamond"/>
        </w:rPr>
      </w:pPr>
    </w:p>
    <w:p w:rsidR="0083389C" w:rsidRPr="00F111CA" w:rsidRDefault="00CB2FB2" w:rsidP="0083389C">
      <w:pPr>
        <w:pStyle w:val="Prrafodelista"/>
        <w:numPr>
          <w:ilvl w:val="0"/>
          <w:numId w:val="30"/>
        </w:numPr>
        <w:spacing w:after="120" w:line="240" w:lineRule="auto"/>
        <w:jc w:val="both"/>
        <w:rPr>
          <w:rFonts w:ascii="Garamond" w:hAnsi="Garamond"/>
          <w:b/>
        </w:rPr>
      </w:pPr>
      <w:r w:rsidRPr="00F111CA">
        <w:rPr>
          <w:rFonts w:ascii="Garamond" w:hAnsi="Garamond"/>
          <w:b/>
        </w:rPr>
        <w:t>ESTRUCTURA Y EJECUCIÓN PMU</w:t>
      </w:r>
    </w:p>
    <w:p w:rsidR="0037099B" w:rsidRPr="00F111CA" w:rsidRDefault="0037099B" w:rsidP="0037099B">
      <w:pPr>
        <w:spacing w:after="120" w:line="240" w:lineRule="auto"/>
        <w:jc w:val="both"/>
        <w:rPr>
          <w:rFonts w:ascii="Garamond" w:hAnsi="Garamond"/>
        </w:rPr>
      </w:pPr>
      <w:r w:rsidRPr="00F111CA">
        <w:rPr>
          <w:rFonts w:ascii="Garamond" w:hAnsi="Garamond"/>
        </w:rPr>
        <w:t xml:space="preserve">La primera observación importante que resalta del análisis realizado, es que, al revés de lo indica el </w:t>
      </w:r>
      <w:r w:rsidR="001A2003">
        <w:rPr>
          <w:rFonts w:ascii="Garamond" w:hAnsi="Garamond"/>
        </w:rPr>
        <w:t>la glosa presupuestaria</w:t>
      </w:r>
      <w:r w:rsidR="006B3049" w:rsidRPr="00F111CA">
        <w:rPr>
          <w:rFonts w:ascii="Garamond" w:hAnsi="Garamond"/>
        </w:rPr>
        <w:t xml:space="preserve">, </w:t>
      </w:r>
      <w:r w:rsidRPr="00F111CA">
        <w:rPr>
          <w:rFonts w:ascii="Garamond" w:hAnsi="Garamond"/>
        </w:rPr>
        <w:t xml:space="preserve">según el cual </w:t>
      </w:r>
      <w:r w:rsidR="006B3049" w:rsidRPr="00F111CA">
        <w:rPr>
          <w:rFonts w:ascii="Garamond" w:hAnsi="Garamond"/>
        </w:rPr>
        <w:t>la relación potencial del presupuesto PMU Tradicional</w:t>
      </w:r>
      <w:r w:rsidRPr="00F111CA">
        <w:rPr>
          <w:rFonts w:ascii="Garamond" w:hAnsi="Garamond"/>
        </w:rPr>
        <w:t>/</w:t>
      </w:r>
      <w:r w:rsidR="006B3049" w:rsidRPr="00F111CA">
        <w:rPr>
          <w:rFonts w:ascii="Garamond" w:hAnsi="Garamond"/>
        </w:rPr>
        <w:t xml:space="preserve">Emergencia es de 75/25, </w:t>
      </w:r>
      <w:r w:rsidRPr="00F111CA">
        <w:rPr>
          <w:rFonts w:ascii="Garamond" w:hAnsi="Garamond"/>
        </w:rPr>
        <w:t>a la hora de considerar la inversión efectivamente ejecutada</w:t>
      </w:r>
      <w:r w:rsidR="003D72DB">
        <w:rPr>
          <w:rFonts w:ascii="Garamond" w:hAnsi="Garamond"/>
        </w:rPr>
        <w:t>,</w:t>
      </w:r>
      <w:r w:rsidRPr="00F111CA">
        <w:rPr>
          <w:rFonts w:ascii="Garamond" w:hAnsi="Garamond"/>
        </w:rPr>
        <w:t xml:space="preserve"> esta relación es inversa: 2</w:t>
      </w:r>
      <w:r w:rsidR="003D72DB">
        <w:rPr>
          <w:rFonts w:ascii="Garamond" w:hAnsi="Garamond"/>
        </w:rPr>
        <w:t>2</w:t>
      </w:r>
      <w:r w:rsidRPr="00F111CA">
        <w:rPr>
          <w:rFonts w:ascii="Garamond" w:hAnsi="Garamond"/>
        </w:rPr>
        <w:t>,</w:t>
      </w:r>
      <w:r w:rsidR="003D72DB">
        <w:rPr>
          <w:rFonts w:ascii="Garamond" w:hAnsi="Garamond"/>
        </w:rPr>
        <w:t>77</w:t>
      </w:r>
      <w:r w:rsidRPr="00F111CA">
        <w:rPr>
          <w:rFonts w:ascii="Garamond" w:hAnsi="Garamond"/>
        </w:rPr>
        <w:t xml:space="preserve"> % </w:t>
      </w:r>
      <w:r w:rsidR="00B20517">
        <w:rPr>
          <w:rFonts w:ascii="Garamond" w:hAnsi="Garamond"/>
        </w:rPr>
        <w:t xml:space="preserve">($ 33.311.076.494) </w:t>
      </w:r>
      <w:r w:rsidRPr="00F111CA">
        <w:rPr>
          <w:rFonts w:ascii="Garamond" w:hAnsi="Garamond"/>
        </w:rPr>
        <w:t>corresponde a PMU Tradicional y el otro 7</w:t>
      </w:r>
      <w:r w:rsidR="003D72DB">
        <w:rPr>
          <w:rFonts w:ascii="Garamond" w:hAnsi="Garamond"/>
        </w:rPr>
        <w:t xml:space="preserve">7,23 </w:t>
      </w:r>
      <w:r w:rsidRPr="00F111CA">
        <w:rPr>
          <w:rFonts w:ascii="Garamond" w:hAnsi="Garamond"/>
        </w:rPr>
        <w:t>% ($ 106.747.885.768) corresponde a inversión por línea Emergencia. Lo anterior se debe a la existencia de partidas especiales</w:t>
      </w:r>
      <w:r w:rsidR="00B20517">
        <w:rPr>
          <w:rFonts w:ascii="Garamond" w:hAnsi="Garamond"/>
        </w:rPr>
        <w:t xml:space="preserve"> no contempladas en la glosa</w:t>
      </w:r>
      <w:r w:rsidRPr="00F111CA">
        <w:rPr>
          <w:rFonts w:ascii="Garamond" w:hAnsi="Garamond"/>
        </w:rPr>
        <w:t>.</w:t>
      </w:r>
    </w:p>
    <w:p w:rsidR="0083507E" w:rsidRPr="00F111CA" w:rsidRDefault="000C66C4" w:rsidP="00AB4DFC">
      <w:pPr>
        <w:spacing w:after="120" w:line="240" w:lineRule="auto"/>
        <w:jc w:val="both"/>
        <w:rPr>
          <w:rFonts w:ascii="Garamond" w:hAnsi="Garamond"/>
        </w:rPr>
      </w:pPr>
      <w:r w:rsidRPr="00F111CA">
        <w:rPr>
          <w:rFonts w:ascii="Garamond" w:hAnsi="Garamond"/>
        </w:rPr>
        <w:t>Para entrar al análisis más detallado, hay que considerar que d</w:t>
      </w:r>
      <w:r w:rsidR="0083507E" w:rsidRPr="00F111CA">
        <w:rPr>
          <w:rFonts w:ascii="Garamond" w:hAnsi="Garamond"/>
        </w:rPr>
        <w:t>ebido a la reciente migración de la información de proyectos de una plataforma informática a otra, no fue posible contar con la</w:t>
      </w:r>
      <w:r w:rsidR="000D6B80" w:rsidRPr="00F111CA">
        <w:rPr>
          <w:rFonts w:ascii="Garamond" w:hAnsi="Garamond"/>
        </w:rPr>
        <w:t xml:space="preserve"> serie</w:t>
      </w:r>
      <w:r w:rsidR="0083507E" w:rsidRPr="00F111CA">
        <w:rPr>
          <w:rFonts w:ascii="Garamond" w:hAnsi="Garamond"/>
        </w:rPr>
        <w:t xml:space="preserve"> de </w:t>
      </w:r>
      <w:r w:rsidR="0083507E" w:rsidRPr="00F111CA">
        <w:rPr>
          <w:rFonts w:ascii="Garamond" w:hAnsi="Garamond"/>
          <w:i/>
        </w:rPr>
        <w:t>demanda de inversión</w:t>
      </w:r>
      <w:r w:rsidR="0083507E" w:rsidRPr="00F111CA">
        <w:rPr>
          <w:rFonts w:ascii="Garamond" w:hAnsi="Garamond"/>
        </w:rPr>
        <w:t xml:space="preserve"> PMU </w:t>
      </w:r>
      <w:r w:rsidR="000D6B80" w:rsidRPr="00F111CA">
        <w:rPr>
          <w:rFonts w:ascii="Garamond" w:hAnsi="Garamond"/>
        </w:rPr>
        <w:t>para el trienio 2011-2013, período del cual sí se contó con la información de los proyectos efectivamente financiados</w:t>
      </w:r>
      <w:r w:rsidRPr="00F111CA">
        <w:rPr>
          <w:rFonts w:ascii="Garamond" w:hAnsi="Garamond"/>
        </w:rPr>
        <w:t xml:space="preserve">, que hemos llamado </w:t>
      </w:r>
      <w:r w:rsidRPr="00F111CA">
        <w:rPr>
          <w:rFonts w:ascii="Garamond" w:hAnsi="Garamond"/>
          <w:i/>
        </w:rPr>
        <w:t>inversión efectiva</w:t>
      </w:r>
      <w:r w:rsidR="0083507E" w:rsidRPr="00F111CA">
        <w:rPr>
          <w:rFonts w:ascii="Garamond" w:hAnsi="Garamond"/>
        </w:rPr>
        <w:t xml:space="preserve">. No obstante, </w:t>
      </w:r>
      <w:r w:rsidR="000D6B80" w:rsidRPr="00F111CA">
        <w:rPr>
          <w:rFonts w:ascii="Garamond" w:hAnsi="Garamond"/>
        </w:rPr>
        <w:t>contamos con información comparable para el año 2013</w:t>
      </w:r>
      <w:r w:rsidRPr="00F111CA">
        <w:rPr>
          <w:rFonts w:ascii="Garamond" w:hAnsi="Garamond"/>
        </w:rPr>
        <w:t>, que resulta de interés</w:t>
      </w:r>
      <w:r w:rsidR="000D6B80" w:rsidRPr="00F111CA">
        <w:rPr>
          <w:rFonts w:ascii="Garamond" w:hAnsi="Garamond"/>
        </w:rPr>
        <w:t>:</w:t>
      </w:r>
    </w:p>
    <w:p w:rsidR="00C526DE" w:rsidRPr="00F111CA" w:rsidRDefault="00C526DE" w:rsidP="00AB4DFC">
      <w:pPr>
        <w:spacing w:after="120" w:line="240" w:lineRule="auto"/>
        <w:jc w:val="both"/>
        <w:rPr>
          <w:rFonts w:ascii="Garamond" w:hAnsi="Garamond"/>
        </w:rPr>
      </w:pPr>
    </w:p>
    <w:p w:rsidR="002B79D9" w:rsidRPr="00F111CA" w:rsidRDefault="002B79D9" w:rsidP="002B79D9">
      <w:pPr>
        <w:spacing w:after="120" w:line="240" w:lineRule="auto"/>
        <w:jc w:val="center"/>
        <w:rPr>
          <w:rFonts w:ascii="Garamond" w:hAnsi="Garamond"/>
        </w:rPr>
      </w:pPr>
      <w:r w:rsidRPr="00F111CA">
        <w:rPr>
          <w:rFonts w:ascii="Garamond" w:hAnsi="Garamond"/>
        </w:rPr>
        <w:t>TABLA N° 1</w:t>
      </w:r>
      <w:r w:rsidR="00C666FC" w:rsidRPr="00F111CA">
        <w:rPr>
          <w:rFonts w:ascii="Garamond" w:hAnsi="Garamond"/>
        </w:rPr>
        <w:t>1</w:t>
      </w:r>
      <w:r w:rsidRPr="00F111CA">
        <w:rPr>
          <w:rFonts w:ascii="Garamond" w:hAnsi="Garamond"/>
        </w:rPr>
        <w:t>: DEMANDA TOTAL DE FINANCIAMIENTO PMU</w:t>
      </w:r>
      <w:r w:rsidR="00481D08" w:rsidRPr="00F111CA">
        <w:rPr>
          <w:rFonts w:ascii="Garamond" w:hAnsi="Garamond"/>
        </w:rPr>
        <w:t>,</w:t>
      </w:r>
      <w:r w:rsidRPr="00F111CA">
        <w:rPr>
          <w:rFonts w:ascii="Garamond" w:hAnsi="Garamond"/>
        </w:rPr>
        <w:t xml:space="preserve"> AÑO 2013</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3"/>
        <w:gridCol w:w="1074"/>
        <w:gridCol w:w="1322"/>
        <w:gridCol w:w="1074"/>
        <w:gridCol w:w="1358"/>
        <w:gridCol w:w="1074"/>
        <w:gridCol w:w="1358"/>
      </w:tblGrid>
      <w:tr w:rsidR="00481D08" w:rsidRPr="005116EB" w:rsidTr="00481D08">
        <w:trPr>
          <w:trHeight w:val="300"/>
          <w:jc w:val="center"/>
        </w:trPr>
        <w:tc>
          <w:tcPr>
            <w:tcW w:w="1483" w:type="dxa"/>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p>
        </w:tc>
        <w:tc>
          <w:tcPr>
            <w:tcW w:w="2396" w:type="dxa"/>
            <w:gridSpan w:val="2"/>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Emergencia</w:t>
            </w:r>
            <w:r w:rsidR="00B20517">
              <w:rPr>
                <w:rFonts w:ascii="Garamond" w:eastAsia="Times New Roman" w:hAnsi="Garamond" w:cs="Times New Roman"/>
                <w:b/>
                <w:color w:val="000000"/>
                <w:sz w:val="18"/>
                <w:szCs w:val="18"/>
                <w:lang w:eastAsia="es-CL"/>
              </w:rPr>
              <w:t xml:space="preserve"> (s/FIE)</w:t>
            </w:r>
          </w:p>
        </w:tc>
        <w:tc>
          <w:tcPr>
            <w:tcW w:w="2432" w:type="dxa"/>
            <w:gridSpan w:val="2"/>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Tradicional</w:t>
            </w:r>
          </w:p>
        </w:tc>
        <w:tc>
          <w:tcPr>
            <w:tcW w:w="2432" w:type="dxa"/>
            <w:gridSpan w:val="2"/>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TOTAL</w:t>
            </w:r>
          </w:p>
        </w:tc>
      </w:tr>
      <w:tr w:rsidR="00481D08" w:rsidRPr="005116EB" w:rsidTr="00481D08">
        <w:trPr>
          <w:trHeight w:val="300"/>
          <w:jc w:val="center"/>
        </w:trPr>
        <w:tc>
          <w:tcPr>
            <w:tcW w:w="1483" w:type="dxa"/>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p>
        </w:tc>
        <w:tc>
          <w:tcPr>
            <w:tcW w:w="1074" w:type="dxa"/>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N° proyectos</w:t>
            </w:r>
          </w:p>
        </w:tc>
        <w:tc>
          <w:tcPr>
            <w:tcW w:w="1322" w:type="dxa"/>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Monto ($)</w:t>
            </w:r>
          </w:p>
        </w:tc>
        <w:tc>
          <w:tcPr>
            <w:tcW w:w="1074" w:type="dxa"/>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N° proyectos</w:t>
            </w:r>
          </w:p>
        </w:tc>
        <w:tc>
          <w:tcPr>
            <w:tcW w:w="1358" w:type="dxa"/>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Monto ($)</w:t>
            </w:r>
          </w:p>
        </w:tc>
        <w:tc>
          <w:tcPr>
            <w:tcW w:w="1074" w:type="dxa"/>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N° proyectos</w:t>
            </w:r>
          </w:p>
        </w:tc>
        <w:tc>
          <w:tcPr>
            <w:tcW w:w="1358" w:type="dxa"/>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Monto ($)</w:t>
            </w:r>
          </w:p>
        </w:tc>
      </w:tr>
      <w:tr w:rsidR="00481D08" w:rsidRPr="005116EB" w:rsidTr="00481D08">
        <w:trPr>
          <w:trHeight w:val="300"/>
          <w:jc w:val="center"/>
        </w:trPr>
        <w:tc>
          <w:tcPr>
            <w:tcW w:w="1483" w:type="dxa"/>
            <w:shd w:val="clear" w:color="auto" w:fill="auto"/>
            <w:noWrap/>
            <w:vAlign w:val="bottom"/>
          </w:tcPr>
          <w:p w:rsidR="00481D08" w:rsidRPr="005116EB" w:rsidRDefault="00481D08" w:rsidP="00B20517">
            <w:pPr>
              <w:spacing w:after="0" w:line="240" w:lineRule="auto"/>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Total demanda</w:t>
            </w:r>
            <w:r w:rsidR="00B20517">
              <w:rPr>
                <w:rFonts w:ascii="Garamond" w:eastAsia="Times New Roman" w:hAnsi="Garamond" w:cs="Times New Roman"/>
                <w:b/>
                <w:color w:val="000000"/>
                <w:sz w:val="18"/>
                <w:szCs w:val="18"/>
                <w:lang w:eastAsia="es-CL"/>
              </w:rPr>
              <w:t xml:space="preserve"> </w:t>
            </w:r>
          </w:p>
        </w:tc>
        <w:tc>
          <w:tcPr>
            <w:tcW w:w="1074" w:type="dxa"/>
            <w:shd w:val="clear" w:color="auto" w:fill="auto"/>
            <w:noWrap/>
            <w:vAlign w:val="bottom"/>
          </w:tcPr>
          <w:p w:rsidR="00481D08" w:rsidRPr="005116EB" w:rsidRDefault="00B20517" w:rsidP="002B79D9">
            <w:pPr>
              <w:spacing w:after="0" w:line="240" w:lineRule="auto"/>
              <w:jc w:val="right"/>
              <w:rPr>
                <w:rFonts w:ascii="Garamond" w:eastAsia="Times New Roman" w:hAnsi="Garamond" w:cs="Times New Roman"/>
                <w:b/>
                <w:color w:val="000000"/>
                <w:sz w:val="18"/>
                <w:szCs w:val="18"/>
                <w:lang w:eastAsia="es-CL"/>
              </w:rPr>
            </w:pPr>
            <w:r>
              <w:rPr>
                <w:rFonts w:ascii="Garamond" w:eastAsia="Times New Roman" w:hAnsi="Garamond" w:cs="Times New Roman"/>
                <w:b/>
                <w:color w:val="000000"/>
                <w:sz w:val="18"/>
                <w:szCs w:val="18"/>
                <w:lang w:eastAsia="es-CL"/>
              </w:rPr>
              <w:t>2.082</w:t>
            </w:r>
          </w:p>
        </w:tc>
        <w:tc>
          <w:tcPr>
            <w:tcW w:w="1322" w:type="dxa"/>
            <w:shd w:val="clear" w:color="auto" w:fill="auto"/>
            <w:noWrap/>
            <w:vAlign w:val="bottom"/>
          </w:tcPr>
          <w:p w:rsidR="00481D08" w:rsidRPr="005116EB" w:rsidRDefault="00B20517" w:rsidP="002B79D9">
            <w:pPr>
              <w:spacing w:after="0" w:line="240" w:lineRule="auto"/>
              <w:jc w:val="right"/>
              <w:rPr>
                <w:rFonts w:ascii="Garamond" w:eastAsia="Times New Roman" w:hAnsi="Garamond" w:cs="Times New Roman"/>
                <w:b/>
                <w:color w:val="000000"/>
                <w:sz w:val="18"/>
                <w:szCs w:val="18"/>
                <w:lang w:eastAsia="es-CL"/>
              </w:rPr>
            </w:pPr>
            <w:r>
              <w:rPr>
                <w:rFonts w:ascii="Garamond" w:eastAsia="Times New Roman" w:hAnsi="Garamond" w:cs="Times New Roman"/>
                <w:b/>
                <w:color w:val="000000"/>
                <w:sz w:val="18"/>
                <w:szCs w:val="18"/>
                <w:lang w:eastAsia="es-CL"/>
              </w:rPr>
              <w:t>83.523.177.725</w:t>
            </w:r>
          </w:p>
        </w:tc>
        <w:tc>
          <w:tcPr>
            <w:tcW w:w="1074" w:type="dxa"/>
            <w:shd w:val="clear" w:color="auto" w:fill="auto"/>
            <w:noWrap/>
            <w:vAlign w:val="bottom"/>
          </w:tcPr>
          <w:p w:rsidR="00481D08" w:rsidRPr="005116EB" w:rsidRDefault="00481D08" w:rsidP="002B79D9">
            <w:pPr>
              <w:spacing w:after="0" w:line="240" w:lineRule="auto"/>
              <w:jc w:val="right"/>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429</w:t>
            </w:r>
          </w:p>
        </w:tc>
        <w:tc>
          <w:tcPr>
            <w:tcW w:w="1358" w:type="dxa"/>
            <w:shd w:val="clear" w:color="auto" w:fill="auto"/>
            <w:noWrap/>
            <w:vAlign w:val="bottom"/>
          </w:tcPr>
          <w:p w:rsidR="00481D08" w:rsidRPr="005116EB" w:rsidRDefault="00481D08" w:rsidP="002B79D9">
            <w:pPr>
              <w:spacing w:after="0" w:line="240" w:lineRule="auto"/>
              <w:jc w:val="right"/>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12.055.222.000</w:t>
            </w:r>
          </w:p>
        </w:tc>
        <w:tc>
          <w:tcPr>
            <w:tcW w:w="1074" w:type="dxa"/>
            <w:vAlign w:val="bottom"/>
          </w:tcPr>
          <w:p w:rsidR="00481D08" w:rsidRPr="005116EB" w:rsidRDefault="00B20517" w:rsidP="002B79D9">
            <w:pPr>
              <w:spacing w:after="0" w:line="240" w:lineRule="auto"/>
              <w:jc w:val="right"/>
              <w:rPr>
                <w:rFonts w:ascii="Garamond" w:eastAsia="Times New Roman" w:hAnsi="Garamond" w:cs="Times New Roman"/>
                <w:b/>
                <w:color w:val="000000"/>
                <w:sz w:val="18"/>
                <w:szCs w:val="18"/>
                <w:lang w:eastAsia="es-CL"/>
              </w:rPr>
            </w:pPr>
            <w:r>
              <w:rPr>
                <w:rFonts w:ascii="Garamond" w:eastAsia="Times New Roman" w:hAnsi="Garamond" w:cs="Times New Roman"/>
                <w:b/>
                <w:color w:val="000000"/>
                <w:sz w:val="18"/>
                <w:szCs w:val="18"/>
                <w:lang w:eastAsia="es-CL"/>
              </w:rPr>
              <w:t>2.511</w:t>
            </w:r>
          </w:p>
        </w:tc>
        <w:tc>
          <w:tcPr>
            <w:tcW w:w="1358" w:type="dxa"/>
            <w:vAlign w:val="bottom"/>
          </w:tcPr>
          <w:p w:rsidR="00481D08" w:rsidRPr="005116EB" w:rsidRDefault="00B20517" w:rsidP="002B79D9">
            <w:pPr>
              <w:spacing w:after="0" w:line="240" w:lineRule="auto"/>
              <w:jc w:val="right"/>
              <w:rPr>
                <w:rFonts w:ascii="Garamond" w:eastAsia="Times New Roman" w:hAnsi="Garamond" w:cs="Times New Roman"/>
                <w:b/>
                <w:color w:val="000000"/>
                <w:sz w:val="18"/>
                <w:szCs w:val="18"/>
                <w:lang w:eastAsia="es-CL"/>
              </w:rPr>
            </w:pPr>
            <w:r>
              <w:rPr>
                <w:rFonts w:ascii="Garamond" w:eastAsia="Times New Roman" w:hAnsi="Garamond" w:cs="Times New Roman"/>
                <w:b/>
                <w:color w:val="000000"/>
                <w:sz w:val="18"/>
                <w:szCs w:val="18"/>
                <w:lang w:eastAsia="es-CL"/>
              </w:rPr>
              <w:t>95.578.399.725</w:t>
            </w:r>
          </w:p>
        </w:tc>
      </w:tr>
      <w:tr w:rsidR="00481D08" w:rsidRPr="005116EB" w:rsidTr="00481D08">
        <w:trPr>
          <w:trHeight w:val="300"/>
          <w:jc w:val="center"/>
        </w:trPr>
        <w:tc>
          <w:tcPr>
            <w:tcW w:w="1483"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74"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322"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74"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358" w:type="dxa"/>
            <w:shd w:val="clear" w:color="auto" w:fill="auto"/>
            <w:noWrap/>
            <w:vAlign w:val="bottom"/>
            <w:hideMark/>
          </w:tcPr>
          <w:p w:rsidR="00481D08" w:rsidRPr="005116EB" w:rsidRDefault="00481D08" w:rsidP="002B79D9">
            <w:pPr>
              <w:spacing w:after="0" w:line="240" w:lineRule="auto"/>
              <w:jc w:val="right"/>
              <w:rPr>
                <w:rFonts w:ascii="Garamond" w:eastAsia="Times New Roman" w:hAnsi="Garamond" w:cs="Times New Roman"/>
                <w:b/>
                <w:color w:val="000000"/>
                <w:sz w:val="18"/>
                <w:szCs w:val="18"/>
                <w:lang w:eastAsia="es-CL"/>
              </w:rPr>
            </w:pPr>
          </w:p>
        </w:tc>
        <w:tc>
          <w:tcPr>
            <w:tcW w:w="1074" w:type="dxa"/>
            <w:vAlign w:val="bottom"/>
          </w:tcPr>
          <w:p w:rsidR="00481D08" w:rsidRPr="005116EB" w:rsidRDefault="00481D08" w:rsidP="002B79D9">
            <w:pPr>
              <w:spacing w:after="0" w:line="240" w:lineRule="auto"/>
              <w:jc w:val="right"/>
              <w:rPr>
                <w:rFonts w:ascii="Garamond" w:eastAsia="Times New Roman" w:hAnsi="Garamond" w:cs="Times New Roman"/>
                <w:b/>
                <w:color w:val="000000"/>
                <w:sz w:val="18"/>
                <w:szCs w:val="18"/>
                <w:lang w:eastAsia="es-CL"/>
              </w:rPr>
            </w:pPr>
          </w:p>
        </w:tc>
        <w:tc>
          <w:tcPr>
            <w:tcW w:w="1358" w:type="dxa"/>
            <w:vAlign w:val="bottom"/>
          </w:tcPr>
          <w:p w:rsidR="00481D08" w:rsidRPr="005116EB" w:rsidRDefault="00481D08" w:rsidP="002B79D9">
            <w:pPr>
              <w:spacing w:after="0" w:line="240" w:lineRule="auto"/>
              <w:jc w:val="right"/>
              <w:rPr>
                <w:rFonts w:ascii="Garamond" w:eastAsia="Times New Roman" w:hAnsi="Garamond" w:cs="Times New Roman"/>
                <w:b/>
                <w:color w:val="000000"/>
                <w:sz w:val="18"/>
                <w:szCs w:val="18"/>
                <w:lang w:eastAsia="es-CL"/>
              </w:rPr>
            </w:pPr>
          </w:p>
        </w:tc>
      </w:tr>
      <w:tr w:rsidR="00481D08" w:rsidRPr="005116EB" w:rsidTr="00481D08">
        <w:trPr>
          <w:trHeight w:val="300"/>
          <w:jc w:val="center"/>
        </w:trPr>
        <w:tc>
          <w:tcPr>
            <w:tcW w:w="1483"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FIE</w:t>
            </w:r>
          </w:p>
        </w:tc>
        <w:tc>
          <w:tcPr>
            <w:tcW w:w="1074" w:type="dxa"/>
            <w:shd w:val="clear" w:color="auto" w:fill="auto"/>
            <w:noWrap/>
            <w:vAlign w:val="bottom"/>
            <w:hideMark/>
          </w:tcPr>
          <w:p w:rsidR="00481D08" w:rsidRPr="005116EB" w:rsidRDefault="00481D08" w:rsidP="002B79D9">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643</w:t>
            </w:r>
          </w:p>
        </w:tc>
        <w:tc>
          <w:tcPr>
            <w:tcW w:w="1322" w:type="dxa"/>
            <w:shd w:val="clear" w:color="auto" w:fill="auto"/>
            <w:noWrap/>
            <w:vAlign w:val="bottom"/>
            <w:hideMark/>
          </w:tcPr>
          <w:p w:rsidR="00481D08" w:rsidRPr="005116EB" w:rsidRDefault="00481D08" w:rsidP="002B79D9">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23.224.708.043</w:t>
            </w:r>
          </w:p>
        </w:tc>
        <w:tc>
          <w:tcPr>
            <w:tcW w:w="1074"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358"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74" w:type="dxa"/>
            <w:vAlign w:val="bottom"/>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p>
        </w:tc>
        <w:tc>
          <w:tcPr>
            <w:tcW w:w="1358" w:type="dxa"/>
            <w:vAlign w:val="bottom"/>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p>
        </w:tc>
      </w:tr>
      <w:tr w:rsidR="00481D08" w:rsidRPr="005116EB" w:rsidTr="00481D08">
        <w:trPr>
          <w:trHeight w:val="300"/>
          <w:jc w:val="center"/>
        </w:trPr>
        <w:tc>
          <w:tcPr>
            <w:tcW w:w="1483"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FIE/</w:t>
            </w:r>
            <w:r w:rsidR="00B20517">
              <w:rPr>
                <w:rFonts w:ascii="Garamond" w:eastAsia="Times New Roman" w:hAnsi="Garamond" w:cs="Times New Roman"/>
                <w:color w:val="000000"/>
                <w:sz w:val="18"/>
                <w:szCs w:val="18"/>
                <w:lang w:eastAsia="es-CL"/>
              </w:rPr>
              <w:t xml:space="preserve">TOTAL </w:t>
            </w:r>
            <w:r w:rsidRPr="005116EB">
              <w:rPr>
                <w:rFonts w:ascii="Garamond" w:eastAsia="Times New Roman" w:hAnsi="Garamond" w:cs="Times New Roman"/>
                <w:color w:val="000000"/>
                <w:sz w:val="18"/>
                <w:szCs w:val="18"/>
                <w:lang w:eastAsia="es-CL"/>
              </w:rPr>
              <w:t>EMERGENCIA</w:t>
            </w:r>
          </w:p>
        </w:tc>
        <w:tc>
          <w:tcPr>
            <w:tcW w:w="1074"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322" w:type="dxa"/>
            <w:shd w:val="clear" w:color="auto" w:fill="auto"/>
            <w:noWrap/>
            <w:vAlign w:val="bottom"/>
            <w:hideMark/>
          </w:tcPr>
          <w:p w:rsidR="00481D08" w:rsidRPr="005116EB" w:rsidRDefault="00481D08" w:rsidP="002B79D9">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21,8%</w:t>
            </w:r>
          </w:p>
        </w:tc>
        <w:tc>
          <w:tcPr>
            <w:tcW w:w="1074"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358" w:type="dxa"/>
            <w:shd w:val="clear" w:color="auto" w:fill="auto"/>
            <w:noWrap/>
            <w:vAlign w:val="bottom"/>
            <w:hideMark/>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74" w:type="dxa"/>
            <w:vAlign w:val="bottom"/>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p>
        </w:tc>
        <w:tc>
          <w:tcPr>
            <w:tcW w:w="1358" w:type="dxa"/>
            <w:vAlign w:val="bottom"/>
          </w:tcPr>
          <w:p w:rsidR="00481D08" w:rsidRPr="005116EB" w:rsidRDefault="00481D08" w:rsidP="002B79D9">
            <w:pPr>
              <w:spacing w:after="0" w:line="240" w:lineRule="auto"/>
              <w:rPr>
                <w:rFonts w:ascii="Garamond" w:eastAsia="Times New Roman" w:hAnsi="Garamond" w:cs="Times New Roman"/>
                <w:color w:val="000000"/>
                <w:sz w:val="18"/>
                <w:szCs w:val="18"/>
                <w:lang w:eastAsia="es-CL"/>
              </w:rPr>
            </w:pPr>
          </w:p>
        </w:tc>
      </w:tr>
    </w:tbl>
    <w:p w:rsidR="000D6B80" w:rsidRPr="00F111CA" w:rsidRDefault="000D6B80" w:rsidP="00AB4DFC">
      <w:pPr>
        <w:spacing w:after="120" w:line="240" w:lineRule="auto"/>
        <w:jc w:val="both"/>
        <w:rPr>
          <w:rFonts w:ascii="Garamond" w:hAnsi="Garamond"/>
        </w:rPr>
      </w:pPr>
    </w:p>
    <w:p w:rsidR="002B79D9" w:rsidRPr="00F111CA" w:rsidRDefault="002B79D9" w:rsidP="002B79D9">
      <w:pPr>
        <w:spacing w:after="120" w:line="240" w:lineRule="auto"/>
        <w:jc w:val="center"/>
        <w:rPr>
          <w:rFonts w:ascii="Garamond" w:hAnsi="Garamond"/>
        </w:rPr>
      </w:pPr>
      <w:r w:rsidRPr="00F111CA">
        <w:rPr>
          <w:rFonts w:ascii="Garamond" w:hAnsi="Garamond"/>
        </w:rPr>
        <w:t>TABLA N° 12: INVERSIÓN EFECTIVA (APROBADOS) TOTAL</w:t>
      </w:r>
      <w:r w:rsidR="00481D08" w:rsidRPr="00F111CA">
        <w:rPr>
          <w:rFonts w:ascii="Garamond" w:hAnsi="Garamond"/>
        </w:rPr>
        <w:t xml:space="preserve"> PMU,</w:t>
      </w:r>
      <w:r w:rsidRPr="00F111CA">
        <w:rPr>
          <w:rFonts w:ascii="Garamond" w:hAnsi="Garamond"/>
        </w:rPr>
        <w:t xml:space="preserve"> AÑO 2013</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1074"/>
        <w:gridCol w:w="1276"/>
        <w:gridCol w:w="1074"/>
        <w:gridCol w:w="1277"/>
        <w:gridCol w:w="1074"/>
        <w:gridCol w:w="1277"/>
      </w:tblGrid>
      <w:tr w:rsidR="00481D08" w:rsidRPr="005116EB" w:rsidTr="00481D08">
        <w:trPr>
          <w:trHeight w:val="300"/>
          <w:jc w:val="center"/>
        </w:trPr>
        <w:tc>
          <w:tcPr>
            <w:tcW w:w="1774" w:type="dxa"/>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bCs/>
                <w:color w:val="000000"/>
                <w:sz w:val="18"/>
                <w:szCs w:val="18"/>
                <w:lang w:eastAsia="es-CL"/>
              </w:rPr>
            </w:pPr>
          </w:p>
        </w:tc>
        <w:tc>
          <w:tcPr>
            <w:tcW w:w="2350" w:type="dxa"/>
            <w:gridSpan w:val="2"/>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bCs/>
                <w:color w:val="000000"/>
                <w:sz w:val="18"/>
                <w:szCs w:val="18"/>
                <w:lang w:eastAsia="es-CL"/>
              </w:rPr>
            </w:pPr>
            <w:r w:rsidRPr="005116EB">
              <w:rPr>
                <w:rFonts w:ascii="Garamond" w:eastAsia="Times New Roman" w:hAnsi="Garamond" w:cs="Times New Roman"/>
                <w:b/>
                <w:color w:val="000000"/>
                <w:sz w:val="18"/>
                <w:szCs w:val="18"/>
                <w:lang w:eastAsia="es-CL"/>
              </w:rPr>
              <w:t>Emergencia</w:t>
            </w:r>
            <w:r w:rsidR="00B20517">
              <w:rPr>
                <w:rFonts w:ascii="Garamond" w:eastAsia="Times New Roman" w:hAnsi="Garamond" w:cs="Times New Roman"/>
                <w:b/>
                <w:color w:val="000000"/>
                <w:sz w:val="18"/>
                <w:szCs w:val="18"/>
                <w:lang w:eastAsia="es-CL"/>
              </w:rPr>
              <w:t xml:space="preserve"> (s/FIE)</w:t>
            </w:r>
          </w:p>
        </w:tc>
        <w:tc>
          <w:tcPr>
            <w:tcW w:w="2351" w:type="dxa"/>
            <w:gridSpan w:val="2"/>
            <w:shd w:val="clear" w:color="auto" w:fill="auto"/>
            <w:noWrap/>
            <w:vAlign w:val="bottom"/>
          </w:tcPr>
          <w:p w:rsidR="00481D08" w:rsidRPr="005116EB" w:rsidRDefault="00481D08" w:rsidP="002B79D9">
            <w:pPr>
              <w:spacing w:after="0" w:line="240" w:lineRule="auto"/>
              <w:jc w:val="center"/>
              <w:rPr>
                <w:rFonts w:ascii="Garamond" w:eastAsia="Times New Roman" w:hAnsi="Garamond" w:cs="Times New Roman"/>
                <w:b/>
                <w:bCs/>
                <w:color w:val="000000"/>
                <w:sz w:val="18"/>
                <w:szCs w:val="18"/>
                <w:lang w:eastAsia="es-CL"/>
              </w:rPr>
            </w:pPr>
            <w:r w:rsidRPr="005116EB">
              <w:rPr>
                <w:rFonts w:ascii="Garamond" w:eastAsia="Times New Roman" w:hAnsi="Garamond" w:cs="Times New Roman"/>
                <w:b/>
                <w:color w:val="000000"/>
                <w:sz w:val="18"/>
                <w:szCs w:val="18"/>
                <w:lang w:eastAsia="es-CL"/>
              </w:rPr>
              <w:t>Tradicional</w:t>
            </w:r>
          </w:p>
        </w:tc>
        <w:tc>
          <w:tcPr>
            <w:tcW w:w="2351" w:type="dxa"/>
            <w:gridSpan w:val="2"/>
            <w:vAlign w:val="bottom"/>
          </w:tcPr>
          <w:p w:rsidR="00481D08" w:rsidRPr="005116EB" w:rsidRDefault="00481D08" w:rsidP="002B79D9">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TOTAL</w:t>
            </w:r>
          </w:p>
        </w:tc>
      </w:tr>
      <w:tr w:rsidR="00481D08" w:rsidRPr="005116EB" w:rsidTr="00481D08">
        <w:trPr>
          <w:trHeight w:val="300"/>
          <w:jc w:val="center"/>
        </w:trPr>
        <w:tc>
          <w:tcPr>
            <w:tcW w:w="1774" w:type="dxa"/>
            <w:shd w:val="clear" w:color="auto" w:fill="auto"/>
            <w:noWrap/>
            <w:vAlign w:val="bottom"/>
          </w:tcPr>
          <w:p w:rsidR="00481D08" w:rsidRPr="005116EB" w:rsidRDefault="00481D08" w:rsidP="00481D08">
            <w:pPr>
              <w:spacing w:after="0" w:line="240" w:lineRule="auto"/>
              <w:jc w:val="center"/>
              <w:rPr>
                <w:rFonts w:ascii="Garamond" w:eastAsia="Times New Roman" w:hAnsi="Garamond" w:cs="Times New Roman"/>
                <w:b/>
                <w:bCs/>
                <w:color w:val="000000"/>
                <w:sz w:val="18"/>
                <w:szCs w:val="18"/>
                <w:lang w:eastAsia="es-CL"/>
              </w:rPr>
            </w:pPr>
          </w:p>
        </w:tc>
        <w:tc>
          <w:tcPr>
            <w:tcW w:w="1074" w:type="dxa"/>
            <w:shd w:val="clear" w:color="auto" w:fill="auto"/>
            <w:noWrap/>
            <w:vAlign w:val="bottom"/>
          </w:tcPr>
          <w:p w:rsidR="00481D08" w:rsidRPr="005116EB" w:rsidRDefault="00481D08" w:rsidP="00481D08">
            <w:pPr>
              <w:spacing w:after="0" w:line="240" w:lineRule="auto"/>
              <w:jc w:val="center"/>
              <w:rPr>
                <w:rFonts w:ascii="Garamond" w:eastAsia="Times New Roman" w:hAnsi="Garamond" w:cs="Times New Roman"/>
                <w:b/>
                <w:bCs/>
                <w:color w:val="000000"/>
                <w:sz w:val="18"/>
                <w:szCs w:val="18"/>
                <w:lang w:eastAsia="es-CL"/>
              </w:rPr>
            </w:pPr>
            <w:r w:rsidRPr="005116EB">
              <w:rPr>
                <w:rFonts w:ascii="Garamond" w:eastAsia="Times New Roman" w:hAnsi="Garamond" w:cs="Times New Roman"/>
                <w:b/>
                <w:color w:val="000000"/>
                <w:sz w:val="18"/>
                <w:szCs w:val="18"/>
                <w:lang w:eastAsia="es-CL"/>
              </w:rPr>
              <w:t>N° proyectos</w:t>
            </w:r>
          </w:p>
        </w:tc>
        <w:tc>
          <w:tcPr>
            <w:tcW w:w="1276" w:type="dxa"/>
            <w:shd w:val="clear" w:color="auto" w:fill="auto"/>
            <w:noWrap/>
            <w:vAlign w:val="bottom"/>
          </w:tcPr>
          <w:p w:rsidR="00481D08" w:rsidRPr="005116EB" w:rsidRDefault="00481D08" w:rsidP="00481D08">
            <w:pPr>
              <w:spacing w:after="0" w:line="240" w:lineRule="auto"/>
              <w:jc w:val="center"/>
              <w:rPr>
                <w:rFonts w:ascii="Garamond" w:eastAsia="Times New Roman" w:hAnsi="Garamond" w:cs="Times New Roman"/>
                <w:b/>
                <w:bCs/>
                <w:color w:val="000000"/>
                <w:sz w:val="18"/>
                <w:szCs w:val="18"/>
                <w:lang w:eastAsia="es-CL"/>
              </w:rPr>
            </w:pPr>
            <w:r w:rsidRPr="005116EB">
              <w:rPr>
                <w:rFonts w:ascii="Garamond" w:eastAsia="Times New Roman" w:hAnsi="Garamond" w:cs="Times New Roman"/>
                <w:b/>
                <w:color w:val="000000"/>
                <w:sz w:val="18"/>
                <w:szCs w:val="18"/>
                <w:lang w:eastAsia="es-CL"/>
              </w:rPr>
              <w:t>Monto ($)</w:t>
            </w:r>
          </w:p>
        </w:tc>
        <w:tc>
          <w:tcPr>
            <w:tcW w:w="1074" w:type="dxa"/>
            <w:shd w:val="clear" w:color="auto" w:fill="auto"/>
            <w:noWrap/>
            <w:vAlign w:val="bottom"/>
          </w:tcPr>
          <w:p w:rsidR="00481D08" w:rsidRPr="005116EB" w:rsidRDefault="00481D08" w:rsidP="00481D08">
            <w:pPr>
              <w:spacing w:after="0" w:line="240" w:lineRule="auto"/>
              <w:jc w:val="center"/>
              <w:rPr>
                <w:rFonts w:ascii="Garamond" w:eastAsia="Times New Roman" w:hAnsi="Garamond" w:cs="Times New Roman"/>
                <w:b/>
                <w:bCs/>
                <w:color w:val="000000"/>
                <w:sz w:val="18"/>
                <w:szCs w:val="18"/>
                <w:lang w:eastAsia="es-CL"/>
              </w:rPr>
            </w:pPr>
            <w:r w:rsidRPr="005116EB">
              <w:rPr>
                <w:rFonts w:ascii="Garamond" w:eastAsia="Times New Roman" w:hAnsi="Garamond" w:cs="Times New Roman"/>
                <w:b/>
                <w:color w:val="000000"/>
                <w:sz w:val="18"/>
                <w:szCs w:val="18"/>
                <w:lang w:eastAsia="es-CL"/>
              </w:rPr>
              <w:t>N° proyectos</w:t>
            </w:r>
          </w:p>
        </w:tc>
        <w:tc>
          <w:tcPr>
            <w:tcW w:w="1277" w:type="dxa"/>
            <w:shd w:val="clear" w:color="auto" w:fill="auto"/>
            <w:noWrap/>
            <w:vAlign w:val="bottom"/>
          </w:tcPr>
          <w:p w:rsidR="00481D08" w:rsidRPr="005116EB" w:rsidRDefault="00481D08" w:rsidP="00481D08">
            <w:pPr>
              <w:spacing w:after="0" w:line="240" w:lineRule="auto"/>
              <w:jc w:val="center"/>
              <w:rPr>
                <w:rFonts w:ascii="Garamond" w:eastAsia="Times New Roman" w:hAnsi="Garamond" w:cs="Times New Roman"/>
                <w:b/>
                <w:bCs/>
                <w:color w:val="000000"/>
                <w:sz w:val="18"/>
                <w:szCs w:val="18"/>
                <w:lang w:eastAsia="es-CL"/>
              </w:rPr>
            </w:pPr>
            <w:r w:rsidRPr="005116EB">
              <w:rPr>
                <w:rFonts w:ascii="Garamond" w:eastAsia="Times New Roman" w:hAnsi="Garamond" w:cs="Times New Roman"/>
                <w:b/>
                <w:color w:val="000000"/>
                <w:sz w:val="18"/>
                <w:szCs w:val="18"/>
                <w:lang w:eastAsia="es-CL"/>
              </w:rPr>
              <w:t>Monto ($)</w:t>
            </w:r>
          </w:p>
        </w:tc>
        <w:tc>
          <w:tcPr>
            <w:tcW w:w="1074" w:type="dxa"/>
            <w:vAlign w:val="bottom"/>
          </w:tcPr>
          <w:p w:rsidR="00481D08" w:rsidRPr="005116EB" w:rsidRDefault="00481D08" w:rsidP="00481D08">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N° proyectos</w:t>
            </w:r>
          </w:p>
        </w:tc>
        <w:tc>
          <w:tcPr>
            <w:tcW w:w="1277" w:type="dxa"/>
            <w:vAlign w:val="bottom"/>
          </w:tcPr>
          <w:p w:rsidR="00481D08" w:rsidRPr="005116EB" w:rsidRDefault="00481D08" w:rsidP="00481D08">
            <w:pPr>
              <w:spacing w:after="0" w:line="240" w:lineRule="auto"/>
              <w:jc w:val="center"/>
              <w:rPr>
                <w:rFonts w:ascii="Garamond" w:eastAsia="Times New Roman" w:hAnsi="Garamond" w:cs="Times New Roman"/>
                <w:b/>
                <w:color w:val="000000"/>
                <w:sz w:val="18"/>
                <w:szCs w:val="18"/>
                <w:lang w:eastAsia="es-CL"/>
              </w:rPr>
            </w:pPr>
            <w:r w:rsidRPr="005116EB">
              <w:rPr>
                <w:rFonts w:ascii="Garamond" w:eastAsia="Times New Roman" w:hAnsi="Garamond" w:cs="Times New Roman"/>
                <w:b/>
                <w:color w:val="000000"/>
                <w:sz w:val="18"/>
                <w:szCs w:val="18"/>
                <w:lang w:eastAsia="es-CL"/>
              </w:rPr>
              <w:t>Monto ($)</w:t>
            </w:r>
          </w:p>
        </w:tc>
      </w:tr>
      <w:tr w:rsidR="00481D08" w:rsidRPr="005116EB" w:rsidTr="00481D08">
        <w:trPr>
          <w:trHeight w:val="300"/>
          <w:jc w:val="center"/>
        </w:trPr>
        <w:tc>
          <w:tcPr>
            <w:tcW w:w="1774" w:type="dxa"/>
            <w:shd w:val="clear" w:color="auto" w:fill="auto"/>
            <w:noWrap/>
            <w:vAlign w:val="bottom"/>
          </w:tcPr>
          <w:p w:rsidR="00481D08" w:rsidRPr="005116EB" w:rsidRDefault="00481D08" w:rsidP="00B20517">
            <w:pPr>
              <w:spacing w:after="0" w:line="240" w:lineRule="auto"/>
              <w:rPr>
                <w:rFonts w:ascii="Garamond" w:eastAsia="Times New Roman" w:hAnsi="Garamond" w:cs="Times New Roman"/>
                <w:b/>
                <w:bCs/>
                <w:color w:val="000000"/>
                <w:sz w:val="18"/>
                <w:szCs w:val="18"/>
                <w:lang w:eastAsia="es-CL"/>
              </w:rPr>
            </w:pPr>
            <w:r w:rsidRPr="005116EB">
              <w:rPr>
                <w:rFonts w:ascii="Garamond" w:eastAsia="Times New Roman" w:hAnsi="Garamond" w:cs="Times New Roman"/>
                <w:b/>
                <w:bCs/>
                <w:color w:val="000000"/>
                <w:sz w:val="18"/>
                <w:szCs w:val="18"/>
                <w:lang w:eastAsia="es-CL"/>
              </w:rPr>
              <w:t>Inversión efectiva total (aprobados)</w:t>
            </w:r>
            <w:r w:rsidR="00B20517">
              <w:rPr>
                <w:rFonts w:ascii="Garamond" w:eastAsia="Times New Roman" w:hAnsi="Garamond" w:cs="Times New Roman"/>
                <w:b/>
                <w:bCs/>
                <w:color w:val="000000"/>
                <w:sz w:val="18"/>
                <w:szCs w:val="18"/>
                <w:lang w:eastAsia="es-CL"/>
              </w:rPr>
              <w:t xml:space="preserve"> </w:t>
            </w:r>
          </w:p>
        </w:tc>
        <w:tc>
          <w:tcPr>
            <w:tcW w:w="1074" w:type="dxa"/>
            <w:shd w:val="clear" w:color="auto" w:fill="auto"/>
            <w:noWrap/>
            <w:vAlign w:val="bottom"/>
          </w:tcPr>
          <w:p w:rsidR="00481D08" w:rsidRPr="005116EB" w:rsidRDefault="00B20517" w:rsidP="00481D08">
            <w:pPr>
              <w:spacing w:after="0" w:line="240" w:lineRule="auto"/>
              <w:jc w:val="right"/>
              <w:rPr>
                <w:rFonts w:ascii="Garamond" w:eastAsia="Times New Roman" w:hAnsi="Garamond" w:cs="Times New Roman"/>
                <w:b/>
                <w:bCs/>
                <w:color w:val="000000"/>
                <w:sz w:val="18"/>
                <w:szCs w:val="18"/>
                <w:lang w:eastAsia="es-CL"/>
              </w:rPr>
            </w:pPr>
            <w:r>
              <w:rPr>
                <w:rFonts w:ascii="Garamond" w:eastAsia="Times New Roman" w:hAnsi="Garamond" w:cs="Times New Roman"/>
                <w:b/>
                <w:bCs/>
                <w:color w:val="000000"/>
                <w:sz w:val="18"/>
                <w:szCs w:val="18"/>
                <w:lang w:eastAsia="es-CL"/>
              </w:rPr>
              <w:t>927</w:t>
            </w:r>
          </w:p>
        </w:tc>
        <w:tc>
          <w:tcPr>
            <w:tcW w:w="1276" w:type="dxa"/>
            <w:shd w:val="clear" w:color="auto" w:fill="auto"/>
            <w:noWrap/>
            <w:vAlign w:val="bottom"/>
          </w:tcPr>
          <w:p w:rsidR="00481D08" w:rsidRPr="005116EB" w:rsidRDefault="00B20517" w:rsidP="00481D08">
            <w:pPr>
              <w:spacing w:after="0" w:line="240" w:lineRule="auto"/>
              <w:jc w:val="right"/>
              <w:rPr>
                <w:rFonts w:ascii="Garamond" w:eastAsia="Times New Roman" w:hAnsi="Garamond" w:cs="Times New Roman"/>
                <w:b/>
                <w:bCs/>
                <w:color w:val="000000"/>
                <w:sz w:val="18"/>
                <w:szCs w:val="18"/>
                <w:lang w:eastAsia="es-CL"/>
              </w:rPr>
            </w:pPr>
            <w:r>
              <w:rPr>
                <w:rFonts w:ascii="Garamond" w:eastAsia="Times New Roman" w:hAnsi="Garamond" w:cs="Times New Roman"/>
                <w:b/>
                <w:bCs/>
                <w:color w:val="000000"/>
                <w:sz w:val="18"/>
                <w:szCs w:val="18"/>
                <w:lang w:eastAsia="es-CL"/>
              </w:rPr>
              <w:t>38.095.779.549</w:t>
            </w:r>
          </w:p>
        </w:tc>
        <w:tc>
          <w:tcPr>
            <w:tcW w:w="1074" w:type="dxa"/>
            <w:shd w:val="clear" w:color="auto" w:fill="auto"/>
            <w:noWrap/>
            <w:vAlign w:val="bottom"/>
          </w:tcPr>
          <w:p w:rsidR="00481D08" w:rsidRPr="005116EB" w:rsidRDefault="00481D08" w:rsidP="00481D08">
            <w:pPr>
              <w:spacing w:after="0" w:line="240" w:lineRule="auto"/>
              <w:jc w:val="right"/>
              <w:rPr>
                <w:rFonts w:ascii="Garamond" w:eastAsia="Times New Roman" w:hAnsi="Garamond" w:cs="Times New Roman"/>
                <w:b/>
                <w:bCs/>
                <w:color w:val="000000"/>
                <w:sz w:val="18"/>
                <w:szCs w:val="18"/>
                <w:lang w:eastAsia="es-CL"/>
              </w:rPr>
            </w:pPr>
            <w:r w:rsidRPr="005116EB">
              <w:rPr>
                <w:rFonts w:ascii="Garamond" w:eastAsia="Times New Roman" w:hAnsi="Garamond" w:cs="Times New Roman"/>
                <w:b/>
                <w:bCs/>
                <w:color w:val="000000"/>
                <w:sz w:val="18"/>
                <w:szCs w:val="18"/>
                <w:lang w:eastAsia="es-CL"/>
              </w:rPr>
              <w:t>387</w:t>
            </w:r>
          </w:p>
        </w:tc>
        <w:tc>
          <w:tcPr>
            <w:tcW w:w="1277" w:type="dxa"/>
            <w:shd w:val="clear" w:color="auto" w:fill="auto"/>
            <w:noWrap/>
            <w:vAlign w:val="bottom"/>
          </w:tcPr>
          <w:p w:rsidR="00481D08" w:rsidRPr="005116EB" w:rsidRDefault="00481D08" w:rsidP="00481D08">
            <w:pPr>
              <w:spacing w:after="0" w:line="240" w:lineRule="auto"/>
              <w:jc w:val="right"/>
              <w:rPr>
                <w:rFonts w:ascii="Garamond" w:eastAsia="Times New Roman" w:hAnsi="Garamond" w:cs="Times New Roman"/>
                <w:b/>
                <w:bCs/>
                <w:color w:val="000000"/>
                <w:sz w:val="18"/>
                <w:szCs w:val="18"/>
                <w:lang w:eastAsia="es-CL"/>
              </w:rPr>
            </w:pPr>
            <w:r w:rsidRPr="005116EB">
              <w:rPr>
                <w:rFonts w:ascii="Garamond" w:eastAsia="Times New Roman" w:hAnsi="Garamond" w:cs="Times New Roman"/>
                <w:b/>
                <w:bCs/>
                <w:color w:val="000000"/>
                <w:sz w:val="18"/>
                <w:szCs w:val="18"/>
                <w:lang w:eastAsia="es-CL"/>
              </w:rPr>
              <w:t>8.992.023.227</w:t>
            </w:r>
          </w:p>
        </w:tc>
        <w:tc>
          <w:tcPr>
            <w:tcW w:w="1074" w:type="dxa"/>
            <w:vAlign w:val="bottom"/>
          </w:tcPr>
          <w:p w:rsidR="00481D08" w:rsidRPr="005116EB" w:rsidRDefault="00B20517" w:rsidP="00481D08">
            <w:pPr>
              <w:spacing w:after="0" w:line="240" w:lineRule="auto"/>
              <w:jc w:val="right"/>
              <w:rPr>
                <w:rFonts w:ascii="Garamond" w:eastAsia="Times New Roman" w:hAnsi="Garamond" w:cs="Times New Roman"/>
                <w:b/>
                <w:bCs/>
                <w:color w:val="000000"/>
                <w:sz w:val="18"/>
                <w:szCs w:val="18"/>
                <w:lang w:eastAsia="es-CL"/>
              </w:rPr>
            </w:pPr>
            <w:r>
              <w:rPr>
                <w:rFonts w:ascii="Garamond" w:eastAsia="Times New Roman" w:hAnsi="Garamond" w:cs="Times New Roman"/>
                <w:b/>
                <w:bCs/>
                <w:color w:val="000000"/>
                <w:sz w:val="18"/>
                <w:szCs w:val="18"/>
                <w:lang w:eastAsia="es-CL"/>
              </w:rPr>
              <w:t>1.314</w:t>
            </w:r>
          </w:p>
        </w:tc>
        <w:tc>
          <w:tcPr>
            <w:tcW w:w="1277" w:type="dxa"/>
            <w:vAlign w:val="bottom"/>
          </w:tcPr>
          <w:p w:rsidR="00481D08" w:rsidRPr="005116EB" w:rsidRDefault="00B20517" w:rsidP="00481D08">
            <w:pPr>
              <w:spacing w:after="0" w:line="240" w:lineRule="auto"/>
              <w:jc w:val="right"/>
              <w:rPr>
                <w:rFonts w:ascii="Garamond" w:eastAsia="Times New Roman" w:hAnsi="Garamond" w:cs="Times New Roman"/>
                <w:b/>
                <w:bCs/>
                <w:color w:val="000000"/>
                <w:sz w:val="18"/>
                <w:szCs w:val="18"/>
                <w:lang w:eastAsia="es-CL"/>
              </w:rPr>
            </w:pPr>
            <w:r w:rsidRPr="00B20517">
              <w:rPr>
                <w:rFonts w:ascii="Garamond" w:eastAsia="Times New Roman" w:hAnsi="Garamond" w:cs="Times New Roman"/>
                <w:b/>
                <w:bCs/>
                <w:color w:val="000000"/>
                <w:sz w:val="18"/>
                <w:szCs w:val="18"/>
                <w:lang w:eastAsia="es-CL"/>
              </w:rPr>
              <w:t>47</w:t>
            </w:r>
            <w:r>
              <w:rPr>
                <w:rFonts w:ascii="Garamond" w:eastAsia="Times New Roman" w:hAnsi="Garamond" w:cs="Times New Roman"/>
                <w:b/>
                <w:bCs/>
                <w:color w:val="000000"/>
                <w:sz w:val="18"/>
                <w:szCs w:val="18"/>
                <w:lang w:eastAsia="es-CL"/>
              </w:rPr>
              <w:t>.</w:t>
            </w:r>
            <w:r w:rsidRPr="00B20517">
              <w:rPr>
                <w:rFonts w:ascii="Garamond" w:eastAsia="Times New Roman" w:hAnsi="Garamond" w:cs="Times New Roman"/>
                <w:b/>
                <w:bCs/>
                <w:color w:val="000000"/>
                <w:sz w:val="18"/>
                <w:szCs w:val="18"/>
                <w:lang w:eastAsia="es-CL"/>
              </w:rPr>
              <w:t>087</w:t>
            </w:r>
            <w:r>
              <w:rPr>
                <w:rFonts w:ascii="Garamond" w:eastAsia="Times New Roman" w:hAnsi="Garamond" w:cs="Times New Roman"/>
                <w:b/>
                <w:bCs/>
                <w:color w:val="000000"/>
                <w:sz w:val="18"/>
                <w:szCs w:val="18"/>
                <w:lang w:eastAsia="es-CL"/>
              </w:rPr>
              <w:t>.</w:t>
            </w:r>
            <w:r w:rsidRPr="00B20517">
              <w:rPr>
                <w:rFonts w:ascii="Garamond" w:eastAsia="Times New Roman" w:hAnsi="Garamond" w:cs="Times New Roman"/>
                <w:b/>
                <w:bCs/>
                <w:color w:val="000000"/>
                <w:sz w:val="18"/>
                <w:szCs w:val="18"/>
                <w:lang w:eastAsia="es-CL"/>
              </w:rPr>
              <w:t>802</w:t>
            </w:r>
            <w:r>
              <w:rPr>
                <w:rFonts w:ascii="Garamond" w:eastAsia="Times New Roman" w:hAnsi="Garamond" w:cs="Times New Roman"/>
                <w:b/>
                <w:bCs/>
                <w:color w:val="000000"/>
                <w:sz w:val="18"/>
                <w:szCs w:val="18"/>
                <w:lang w:eastAsia="es-CL"/>
              </w:rPr>
              <w:t>.</w:t>
            </w:r>
            <w:r w:rsidRPr="00B20517">
              <w:rPr>
                <w:rFonts w:ascii="Garamond" w:eastAsia="Times New Roman" w:hAnsi="Garamond" w:cs="Times New Roman"/>
                <w:b/>
                <w:bCs/>
                <w:color w:val="000000"/>
                <w:sz w:val="18"/>
                <w:szCs w:val="18"/>
                <w:lang w:eastAsia="es-CL"/>
              </w:rPr>
              <w:t>776</w:t>
            </w:r>
          </w:p>
        </w:tc>
      </w:tr>
      <w:tr w:rsidR="00481D08" w:rsidRPr="005116EB" w:rsidTr="00481D08">
        <w:trPr>
          <w:trHeight w:val="300"/>
          <w:jc w:val="center"/>
        </w:trPr>
        <w:tc>
          <w:tcPr>
            <w:tcW w:w="1774" w:type="dxa"/>
            <w:shd w:val="clear" w:color="auto" w:fill="auto"/>
            <w:noWrap/>
            <w:vAlign w:val="bottom"/>
            <w:hideMark/>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FIE</w:t>
            </w:r>
          </w:p>
        </w:tc>
        <w:tc>
          <w:tcPr>
            <w:tcW w:w="1074" w:type="dxa"/>
            <w:shd w:val="clear" w:color="auto" w:fill="auto"/>
            <w:noWrap/>
            <w:vAlign w:val="bottom"/>
            <w:hideMark/>
          </w:tcPr>
          <w:p w:rsidR="00481D08" w:rsidRPr="005116EB" w:rsidRDefault="00481D08" w:rsidP="00481D08">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180</w:t>
            </w:r>
          </w:p>
        </w:tc>
        <w:tc>
          <w:tcPr>
            <w:tcW w:w="1276" w:type="dxa"/>
            <w:shd w:val="clear" w:color="auto" w:fill="auto"/>
            <w:noWrap/>
            <w:vAlign w:val="bottom"/>
            <w:hideMark/>
          </w:tcPr>
          <w:p w:rsidR="00481D08" w:rsidRPr="005116EB" w:rsidRDefault="00481D08" w:rsidP="00481D08">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7.500.764.131</w:t>
            </w:r>
          </w:p>
        </w:tc>
        <w:tc>
          <w:tcPr>
            <w:tcW w:w="1074" w:type="dxa"/>
            <w:shd w:val="clear" w:color="auto" w:fill="auto"/>
            <w:noWrap/>
            <w:vAlign w:val="bottom"/>
            <w:hideMark/>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277" w:type="dxa"/>
            <w:shd w:val="clear" w:color="auto" w:fill="auto"/>
            <w:noWrap/>
            <w:vAlign w:val="bottom"/>
            <w:hideMark/>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74" w:type="dxa"/>
            <w:vAlign w:val="bottom"/>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p>
        </w:tc>
        <w:tc>
          <w:tcPr>
            <w:tcW w:w="1277" w:type="dxa"/>
            <w:vAlign w:val="bottom"/>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p>
        </w:tc>
      </w:tr>
      <w:tr w:rsidR="00481D08" w:rsidRPr="005116EB" w:rsidTr="00481D08">
        <w:trPr>
          <w:trHeight w:val="300"/>
          <w:jc w:val="center"/>
        </w:trPr>
        <w:tc>
          <w:tcPr>
            <w:tcW w:w="1774" w:type="dxa"/>
            <w:shd w:val="clear" w:color="auto" w:fill="auto"/>
            <w:noWrap/>
            <w:vAlign w:val="bottom"/>
            <w:hideMark/>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FIE/</w:t>
            </w:r>
            <w:r w:rsidR="00B20517">
              <w:rPr>
                <w:rFonts w:ascii="Garamond" w:eastAsia="Times New Roman" w:hAnsi="Garamond" w:cs="Times New Roman"/>
                <w:color w:val="000000"/>
                <w:sz w:val="18"/>
                <w:szCs w:val="18"/>
                <w:lang w:eastAsia="es-CL"/>
              </w:rPr>
              <w:t xml:space="preserve">TOTAL </w:t>
            </w:r>
            <w:r w:rsidRPr="005116EB">
              <w:rPr>
                <w:rFonts w:ascii="Garamond" w:eastAsia="Times New Roman" w:hAnsi="Garamond" w:cs="Times New Roman"/>
                <w:color w:val="000000"/>
                <w:sz w:val="18"/>
                <w:szCs w:val="18"/>
                <w:lang w:eastAsia="es-CL"/>
              </w:rPr>
              <w:t>EMERGENCIA</w:t>
            </w:r>
          </w:p>
        </w:tc>
        <w:tc>
          <w:tcPr>
            <w:tcW w:w="1074" w:type="dxa"/>
            <w:shd w:val="clear" w:color="auto" w:fill="auto"/>
            <w:noWrap/>
            <w:vAlign w:val="bottom"/>
            <w:hideMark/>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276" w:type="dxa"/>
            <w:shd w:val="clear" w:color="auto" w:fill="auto"/>
            <w:noWrap/>
            <w:vAlign w:val="bottom"/>
            <w:hideMark/>
          </w:tcPr>
          <w:p w:rsidR="00481D08" w:rsidRPr="005116EB" w:rsidRDefault="00481D08" w:rsidP="00481D08">
            <w:pPr>
              <w:spacing w:after="0" w:line="240" w:lineRule="auto"/>
              <w:jc w:val="right"/>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16,45%</w:t>
            </w:r>
          </w:p>
        </w:tc>
        <w:tc>
          <w:tcPr>
            <w:tcW w:w="1074" w:type="dxa"/>
            <w:shd w:val="clear" w:color="auto" w:fill="auto"/>
            <w:noWrap/>
            <w:vAlign w:val="bottom"/>
            <w:hideMark/>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277" w:type="dxa"/>
            <w:shd w:val="clear" w:color="auto" w:fill="auto"/>
            <w:noWrap/>
            <w:vAlign w:val="bottom"/>
            <w:hideMark/>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r w:rsidRPr="005116EB">
              <w:rPr>
                <w:rFonts w:ascii="Garamond" w:eastAsia="Times New Roman" w:hAnsi="Garamond" w:cs="Times New Roman"/>
                <w:color w:val="000000"/>
                <w:sz w:val="18"/>
                <w:szCs w:val="18"/>
                <w:lang w:eastAsia="es-CL"/>
              </w:rPr>
              <w:t> </w:t>
            </w:r>
          </w:p>
        </w:tc>
        <w:tc>
          <w:tcPr>
            <w:tcW w:w="1074" w:type="dxa"/>
            <w:vAlign w:val="bottom"/>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p>
        </w:tc>
        <w:tc>
          <w:tcPr>
            <w:tcW w:w="1277" w:type="dxa"/>
            <w:vAlign w:val="bottom"/>
          </w:tcPr>
          <w:p w:rsidR="00481D08" w:rsidRPr="005116EB" w:rsidRDefault="00481D08" w:rsidP="00481D08">
            <w:pPr>
              <w:spacing w:after="0" w:line="240" w:lineRule="auto"/>
              <w:rPr>
                <w:rFonts w:ascii="Garamond" w:eastAsia="Times New Roman" w:hAnsi="Garamond" w:cs="Times New Roman"/>
                <w:color w:val="000000"/>
                <w:sz w:val="18"/>
                <w:szCs w:val="18"/>
                <w:lang w:eastAsia="es-CL"/>
              </w:rPr>
            </w:pPr>
          </w:p>
        </w:tc>
      </w:tr>
    </w:tbl>
    <w:p w:rsidR="000D6B80" w:rsidRPr="00F111CA" w:rsidRDefault="000D6B80" w:rsidP="00AB4DFC">
      <w:pPr>
        <w:spacing w:after="120" w:line="240" w:lineRule="auto"/>
        <w:jc w:val="both"/>
        <w:rPr>
          <w:rFonts w:ascii="Garamond" w:hAnsi="Garamond"/>
        </w:rPr>
      </w:pPr>
    </w:p>
    <w:p w:rsidR="00C526DE" w:rsidRPr="00F111CA" w:rsidRDefault="00C526DE" w:rsidP="00AB4DFC">
      <w:pPr>
        <w:spacing w:after="120" w:line="240" w:lineRule="auto"/>
        <w:jc w:val="both"/>
        <w:rPr>
          <w:rFonts w:ascii="Garamond" w:hAnsi="Garamond"/>
        </w:rPr>
      </w:pPr>
      <w:r w:rsidRPr="00F111CA">
        <w:rPr>
          <w:rFonts w:ascii="Garamond" w:hAnsi="Garamond"/>
        </w:rPr>
        <w:t xml:space="preserve">Mientras que en 2013 eran ingresados </w:t>
      </w:r>
      <w:r w:rsidR="00B20517">
        <w:rPr>
          <w:rFonts w:ascii="Garamond" w:hAnsi="Garamond"/>
        </w:rPr>
        <w:t>2.</w:t>
      </w:r>
      <w:r w:rsidR="003E5149">
        <w:rPr>
          <w:rFonts w:ascii="Garamond" w:hAnsi="Garamond"/>
        </w:rPr>
        <w:t>511</w:t>
      </w:r>
      <w:r w:rsidRPr="00F111CA">
        <w:rPr>
          <w:rFonts w:ascii="Garamond" w:hAnsi="Garamond"/>
        </w:rPr>
        <w:t xml:space="preserve"> proyectos a la plataforma web del Programa (locales, regionales y nacionales), obtenían financiamiento </w:t>
      </w:r>
      <w:r w:rsidR="003E5149">
        <w:rPr>
          <w:rFonts w:ascii="Garamond" w:hAnsi="Garamond"/>
        </w:rPr>
        <w:t>1.314</w:t>
      </w:r>
      <w:r w:rsidRPr="00F111CA">
        <w:rPr>
          <w:rFonts w:ascii="Garamond" w:hAnsi="Garamond"/>
        </w:rPr>
        <w:t xml:space="preserve">, esto es </w:t>
      </w:r>
      <w:r w:rsidR="003E5149">
        <w:rPr>
          <w:rFonts w:ascii="Garamond" w:hAnsi="Garamond"/>
        </w:rPr>
        <w:t>52</w:t>
      </w:r>
      <w:r w:rsidRPr="00F111CA">
        <w:rPr>
          <w:rFonts w:ascii="Garamond" w:hAnsi="Garamond"/>
        </w:rPr>
        <w:t>,</w:t>
      </w:r>
      <w:r w:rsidR="003E5149">
        <w:rPr>
          <w:rFonts w:ascii="Garamond" w:hAnsi="Garamond"/>
        </w:rPr>
        <w:t>33</w:t>
      </w:r>
      <w:r w:rsidRPr="00F111CA">
        <w:rPr>
          <w:rFonts w:ascii="Garamond" w:hAnsi="Garamond"/>
        </w:rPr>
        <w:t xml:space="preserve"> %</w:t>
      </w:r>
      <w:r w:rsidR="00566046" w:rsidRPr="00F111CA">
        <w:rPr>
          <w:rFonts w:ascii="Garamond" w:hAnsi="Garamond"/>
        </w:rPr>
        <w:t xml:space="preserve"> (no necesariamente los proyectos que obtuvieron financiamiento en 2013 fueron ingresados el mismo año al sistema, es decir, no necesariamente coinciden con los proyectos postulados el mismo año). En términos de recursos, esta relación es de $ </w:t>
      </w:r>
      <w:r w:rsidR="003E5149">
        <w:rPr>
          <w:rFonts w:ascii="Garamond" w:hAnsi="Garamond"/>
        </w:rPr>
        <w:t>95.578</w:t>
      </w:r>
      <w:r w:rsidR="00566046" w:rsidRPr="00F111CA">
        <w:rPr>
          <w:rFonts w:ascii="Garamond" w:hAnsi="Garamond"/>
        </w:rPr>
        <w:t xml:space="preserve"> millones aprobados a $ </w:t>
      </w:r>
      <w:r w:rsidR="003E5149">
        <w:rPr>
          <w:rFonts w:ascii="Garamond" w:hAnsi="Garamond"/>
        </w:rPr>
        <w:t>47.087</w:t>
      </w:r>
      <w:r w:rsidR="00566046" w:rsidRPr="00F111CA">
        <w:rPr>
          <w:rFonts w:ascii="Garamond" w:hAnsi="Garamond"/>
        </w:rPr>
        <w:t xml:space="preserve"> millones postulados, representando éstos </w:t>
      </w:r>
      <w:r w:rsidR="003E5149">
        <w:rPr>
          <w:rFonts w:ascii="Garamond" w:hAnsi="Garamond"/>
        </w:rPr>
        <w:t>48,27</w:t>
      </w:r>
      <w:r w:rsidR="00566046" w:rsidRPr="00F111CA">
        <w:rPr>
          <w:rFonts w:ascii="Garamond" w:hAnsi="Garamond"/>
        </w:rPr>
        <w:t xml:space="preserve"> %.</w:t>
      </w:r>
    </w:p>
    <w:p w:rsidR="009C35F6" w:rsidRDefault="00683E04" w:rsidP="00683E04">
      <w:pPr>
        <w:spacing w:after="120" w:line="240" w:lineRule="auto"/>
        <w:jc w:val="both"/>
        <w:rPr>
          <w:rFonts w:ascii="Garamond" w:hAnsi="Garamond"/>
        </w:rPr>
      </w:pPr>
      <w:r w:rsidRPr="00F111CA">
        <w:rPr>
          <w:rFonts w:ascii="Garamond" w:hAnsi="Garamond"/>
        </w:rPr>
        <w:t>Al revisar las Áreas de Inversión con mayor participación en la cartera general</w:t>
      </w:r>
      <w:r w:rsidR="003E5149">
        <w:rPr>
          <w:rFonts w:ascii="Garamond" w:hAnsi="Garamond"/>
        </w:rPr>
        <w:t xml:space="preserve"> (sin</w:t>
      </w:r>
      <w:r w:rsidR="009C35F6">
        <w:rPr>
          <w:rFonts w:ascii="Garamond" w:hAnsi="Garamond"/>
        </w:rPr>
        <w:t xml:space="preserve"> considerar</w:t>
      </w:r>
      <w:r w:rsidR="003E5149">
        <w:rPr>
          <w:rFonts w:ascii="Garamond" w:hAnsi="Garamond"/>
        </w:rPr>
        <w:t xml:space="preserve"> FIE)</w:t>
      </w:r>
      <w:r w:rsidRPr="00F111CA">
        <w:rPr>
          <w:rFonts w:ascii="Garamond" w:hAnsi="Garamond"/>
        </w:rPr>
        <w:t>, la</w:t>
      </w:r>
      <w:r w:rsidR="003E5149">
        <w:rPr>
          <w:rFonts w:ascii="Garamond" w:hAnsi="Garamond"/>
        </w:rPr>
        <w:t>s</w:t>
      </w:r>
      <w:r w:rsidRPr="00F111CA">
        <w:rPr>
          <w:rFonts w:ascii="Garamond" w:hAnsi="Garamond"/>
        </w:rPr>
        <w:t xml:space="preserve"> que absorbe</w:t>
      </w:r>
      <w:r w:rsidR="003E5149">
        <w:rPr>
          <w:rFonts w:ascii="Garamond" w:hAnsi="Garamond"/>
        </w:rPr>
        <w:t>n</w:t>
      </w:r>
      <w:r w:rsidRPr="00F111CA">
        <w:rPr>
          <w:rFonts w:ascii="Garamond" w:hAnsi="Garamond"/>
        </w:rPr>
        <w:t xml:space="preserve"> mayor cantidad de recursos aprobados (inversión efectiva) </w:t>
      </w:r>
      <w:r w:rsidR="003E5149">
        <w:rPr>
          <w:rFonts w:ascii="Garamond" w:hAnsi="Garamond"/>
        </w:rPr>
        <w:t xml:space="preserve">son: canchas deportivas, aceras, </w:t>
      </w:r>
      <w:r w:rsidR="003E5149">
        <w:rPr>
          <w:rFonts w:ascii="Garamond" w:hAnsi="Garamond"/>
        </w:rPr>
        <w:lastRenderedPageBreak/>
        <w:t>recuperación de espacios públicos, plazas y juegos infantiles y sedes comunitarias</w:t>
      </w:r>
      <w:r w:rsidR="009C35F6">
        <w:rPr>
          <w:rFonts w:ascii="Garamond" w:hAnsi="Garamond"/>
        </w:rPr>
        <w:t>, las que en conjunto ocupan cerca de la mitad de la inversión</w:t>
      </w:r>
      <w:r w:rsidR="003E5149">
        <w:rPr>
          <w:rFonts w:ascii="Garamond" w:hAnsi="Garamond"/>
        </w:rPr>
        <w:t xml:space="preserve">. Pero </w:t>
      </w:r>
      <w:r w:rsidR="009C35F6">
        <w:rPr>
          <w:rFonts w:ascii="Garamond" w:hAnsi="Garamond"/>
        </w:rPr>
        <w:t>si a estos datos se agrega el FIE, entonces la inversión en infraestructura educacional (de la que el FIE ocupa más del 91 %) se empina por sobre el 24 % del total</w:t>
      </w:r>
      <w:r w:rsidR="000C66C4" w:rsidRPr="00F111CA">
        <w:rPr>
          <w:rFonts w:ascii="Garamond" w:hAnsi="Garamond"/>
        </w:rPr>
        <w:t xml:space="preserve"> (algo más de $ 4</w:t>
      </w:r>
      <w:r w:rsidR="003E5149">
        <w:rPr>
          <w:rFonts w:ascii="Garamond" w:hAnsi="Garamond"/>
        </w:rPr>
        <w:t>2</w:t>
      </w:r>
      <w:r w:rsidR="000C66C4" w:rsidRPr="00F111CA">
        <w:rPr>
          <w:rFonts w:ascii="Garamond" w:hAnsi="Garamond"/>
        </w:rPr>
        <w:t xml:space="preserve"> mil millones entre escuelas y jardines infantiles).</w:t>
      </w:r>
    </w:p>
    <w:p w:rsidR="000C66C4" w:rsidRPr="00F111CA" w:rsidRDefault="000C66C4" w:rsidP="00683E04">
      <w:pPr>
        <w:spacing w:after="120" w:line="240" w:lineRule="auto"/>
        <w:jc w:val="both"/>
        <w:rPr>
          <w:rFonts w:ascii="Garamond" w:hAnsi="Garamond"/>
        </w:rPr>
      </w:pPr>
      <w:r w:rsidRPr="00F111CA">
        <w:rPr>
          <w:rFonts w:ascii="Garamond" w:hAnsi="Garamond"/>
        </w:rPr>
        <w:t xml:space="preserve">En el caso de </w:t>
      </w:r>
      <w:r w:rsidR="009C35F6">
        <w:rPr>
          <w:rFonts w:ascii="Garamond" w:hAnsi="Garamond"/>
        </w:rPr>
        <w:t>la demanda de inversión –</w:t>
      </w:r>
      <w:r w:rsidRPr="00F111CA">
        <w:rPr>
          <w:rFonts w:ascii="Garamond" w:hAnsi="Garamond"/>
        </w:rPr>
        <w:t>sólo se pudo analiz</w:t>
      </w:r>
      <w:r w:rsidR="009C35F6">
        <w:rPr>
          <w:rFonts w:ascii="Garamond" w:hAnsi="Garamond"/>
        </w:rPr>
        <w:t>ar el período 2013-mayo 2014–, las mayores participaciones las tienen Sedes sociales, Infraestructura deportiva</w:t>
      </w:r>
      <w:r w:rsidRPr="00F111CA">
        <w:rPr>
          <w:rFonts w:ascii="Garamond" w:hAnsi="Garamond"/>
        </w:rPr>
        <w:t xml:space="preserve">: </w:t>
      </w:r>
      <w:r w:rsidR="009C35F6">
        <w:rPr>
          <w:rFonts w:ascii="Garamond" w:hAnsi="Garamond"/>
        </w:rPr>
        <w:t>Construcción calles y aceras, Áreas verdes y Otras obras urbanas/rurales, las que pueden sumar más del 80 % de la demanda.</w:t>
      </w:r>
      <w:r w:rsidR="0076079C">
        <w:rPr>
          <w:rFonts w:ascii="Garamond" w:hAnsi="Garamond"/>
        </w:rPr>
        <w:t xml:space="preserve"> Al agregar el FIE al cálculo, </w:t>
      </w:r>
      <w:r w:rsidR="005C5B34" w:rsidRPr="00F111CA">
        <w:rPr>
          <w:rFonts w:ascii="Garamond" w:hAnsi="Garamond"/>
        </w:rPr>
        <w:t xml:space="preserve">el Área de Inversión principal es </w:t>
      </w:r>
      <w:r w:rsidR="00C36642" w:rsidRPr="00F111CA">
        <w:rPr>
          <w:rFonts w:ascii="Garamond" w:hAnsi="Garamond"/>
        </w:rPr>
        <w:t>Escuelas y Liceos, con un 26,08</w:t>
      </w:r>
      <w:r w:rsidR="005C5B34" w:rsidRPr="00F111CA">
        <w:rPr>
          <w:rFonts w:ascii="Garamond" w:hAnsi="Garamond"/>
        </w:rPr>
        <w:t xml:space="preserve"> %, dentro de la cual el</w:t>
      </w:r>
      <w:r w:rsidRPr="00F111CA">
        <w:rPr>
          <w:rFonts w:ascii="Garamond" w:hAnsi="Garamond"/>
        </w:rPr>
        <w:t xml:space="preserve"> FIE </w:t>
      </w:r>
      <w:r w:rsidR="00C36642" w:rsidRPr="00F111CA">
        <w:rPr>
          <w:rFonts w:ascii="Garamond" w:hAnsi="Garamond"/>
        </w:rPr>
        <w:t>tiene una participación del 88,14</w:t>
      </w:r>
      <w:r w:rsidR="005C5B34" w:rsidRPr="00F111CA">
        <w:rPr>
          <w:rFonts w:ascii="Garamond" w:hAnsi="Garamond"/>
        </w:rPr>
        <w:t xml:space="preserve"> %</w:t>
      </w:r>
      <w:r w:rsidRPr="00F111CA">
        <w:rPr>
          <w:rFonts w:ascii="Garamond" w:hAnsi="Garamond"/>
        </w:rPr>
        <w:t>.</w:t>
      </w:r>
    </w:p>
    <w:p w:rsidR="0083389C" w:rsidRDefault="000C66C4" w:rsidP="00683E04">
      <w:pPr>
        <w:spacing w:after="120" w:line="240" w:lineRule="auto"/>
        <w:jc w:val="both"/>
        <w:rPr>
          <w:rFonts w:ascii="Garamond" w:hAnsi="Garamond"/>
        </w:rPr>
      </w:pPr>
      <w:r w:rsidRPr="00F111CA">
        <w:rPr>
          <w:rFonts w:ascii="Garamond" w:hAnsi="Garamond"/>
        </w:rPr>
        <w:t>Con todo, e</w:t>
      </w:r>
      <w:r w:rsidR="00683E04" w:rsidRPr="00F111CA">
        <w:rPr>
          <w:rFonts w:ascii="Garamond" w:hAnsi="Garamond"/>
        </w:rPr>
        <w:t xml:space="preserve">n términos gruesos, la estructura de la inversión </w:t>
      </w:r>
      <w:r w:rsidR="00C36642" w:rsidRPr="00F111CA">
        <w:rPr>
          <w:rFonts w:ascii="Garamond" w:hAnsi="Garamond"/>
        </w:rPr>
        <w:t xml:space="preserve">efectiva del </w:t>
      </w:r>
      <w:r w:rsidRPr="00F111CA">
        <w:rPr>
          <w:rFonts w:ascii="Garamond" w:hAnsi="Garamond"/>
        </w:rPr>
        <w:t xml:space="preserve">PMU </w:t>
      </w:r>
      <w:r w:rsidR="00683E04" w:rsidRPr="00F111CA">
        <w:rPr>
          <w:rFonts w:ascii="Garamond" w:hAnsi="Garamond"/>
        </w:rPr>
        <w:t xml:space="preserve">se mantiene </w:t>
      </w:r>
      <w:r w:rsidR="0076079C">
        <w:rPr>
          <w:rFonts w:ascii="Garamond" w:hAnsi="Garamond"/>
        </w:rPr>
        <w:t xml:space="preserve">sin grandes variaciones </w:t>
      </w:r>
      <w:r w:rsidR="00683E04" w:rsidRPr="00F111CA">
        <w:rPr>
          <w:rFonts w:ascii="Garamond" w:hAnsi="Garamond"/>
        </w:rPr>
        <w:t>en los 3 años.</w:t>
      </w:r>
    </w:p>
    <w:p w:rsidR="005116EB" w:rsidRPr="00F111CA" w:rsidRDefault="005116EB" w:rsidP="00683E04">
      <w:pPr>
        <w:spacing w:after="120" w:line="240" w:lineRule="auto"/>
        <w:jc w:val="both"/>
        <w:rPr>
          <w:rFonts w:ascii="Garamond" w:hAnsi="Garamond"/>
        </w:rPr>
      </w:pPr>
    </w:p>
    <w:p w:rsidR="0083389C" w:rsidRPr="00F111CA" w:rsidRDefault="00CB2FB2" w:rsidP="0083389C">
      <w:pPr>
        <w:pStyle w:val="Prrafodelista"/>
        <w:numPr>
          <w:ilvl w:val="0"/>
          <w:numId w:val="30"/>
        </w:numPr>
        <w:spacing w:after="120" w:line="240" w:lineRule="auto"/>
        <w:jc w:val="both"/>
        <w:rPr>
          <w:rFonts w:ascii="Garamond" w:hAnsi="Garamond"/>
          <w:b/>
        </w:rPr>
      </w:pPr>
      <w:r w:rsidRPr="00F111CA">
        <w:rPr>
          <w:rFonts w:ascii="Garamond" w:hAnsi="Garamond"/>
          <w:b/>
        </w:rPr>
        <w:t>LÍNEAS MODULARES CREADAS EN 2011</w:t>
      </w:r>
    </w:p>
    <w:p w:rsidR="00A1635E" w:rsidRPr="00F111CA" w:rsidRDefault="00A1635E" w:rsidP="00A1635E">
      <w:pPr>
        <w:spacing w:after="120" w:line="240" w:lineRule="auto"/>
        <w:jc w:val="both"/>
        <w:rPr>
          <w:rFonts w:ascii="Garamond" w:hAnsi="Garamond"/>
        </w:rPr>
      </w:pPr>
      <w:r w:rsidRPr="00F111CA">
        <w:rPr>
          <w:rFonts w:ascii="Garamond" w:hAnsi="Garamond"/>
        </w:rPr>
        <w:t xml:space="preserve">Al </w:t>
      </w:r>
      <w:r w:rsidR="007F09A5" w:rsidRPr="00F111CA">
        <w:rPr>
          <w:rFonts w:ascii="Garamond" w:hAnsi="Garamond"/>
        </w:rPr>
        <w:t>analizar la inversión efectiva en</w:t>
      </w:r>
      <w:r w:rsidRPr="00F111CA">
        <w:rPr>
          <w:rFonts w:ascii="Garamond" w:hAnsi="Garamond"/>
        </w:rPr>
        <w:t xml:space="preserve"> Líneas Modulares del Programa, observamos que la más importante ha sido EVS, que a la vez tiene una importante participación dentro del Área de Inversión Plaza Activa (72 %), de modo que, si sólo ponemos atención a estas cifras, podría justificarse su existencia.</w:t>
      </w:r>
    </w:p>
    <w:p w:rsidR="00A1635E" w:rsidRPr="00F111CA" w:rsidRDefault="00A1635E" w:rsidP="00A1635E">
      <w:pPr>
        <w:spacing w:after="120" w:line="240" w:lineRule="auto"/>
        <w:jc w:val="both"/>
        <w:rPr>
          <w:rFonts w:ascii="Garamond" w:hAnsi="Garamond"/>
        </w:rPr>
      </w:pPr>
      <w:r w:rsidRPr="00F111CA">
        <w:rPr>
          <w:rFonts w:ascii="Garamond" w:hAnsi="Garamond"/>
        </w:rPr>
        <w:t>Sigue la Línea 100 Pasarelas, que con sus 63 proyectos ocupa alrededor de la mitad de los recursos totales destinados al Área Pasarelas Peatonales y Puentes. Luego, el mismo criterio anterior podría aplicarse para justificar la existencia de esta Línea Modular.</w:t>
      </w:r>
    </w:p>
    <w:p w:rsidR="00E511B5" w:rsidRPr="00F111CA" w:rsidRDefault="00E511B5" w:rsidP="00A1635E">
      <w:pPr>
        <w:spacing w:after="120" w:line="240" w:lineRule="auto"/>
        <w:jc w:val="both"/>
        <w:rPr>
          <w:rFonts w:ascii="Garamond" w:hAnsi="Garamond"/>
        </w:rPr>
      </w:pPr>
      <w:r w:rsidRPr="00F111CA">
        <w:rPr>
          <w:rFonts w:ascii="Garamond" w:hAnsi="Garamond"/>
        </w:rPr>
        <w:t>Sin embargo, tanto el Área Plaza Activa como el Área Pasarelas Peatonales y Puentes son porcentualmente poco importantes en el PMU, lo que a su vez resta importancia a las dos Líneas mencionadas.</w:t>
      </w:r>
    </w:p>
    <w:p w:rsidR="00E511B5" w:rsidRPr="00F111CA" w:rsidRDefault="00E511B5" w:rsidP="00E511B5">
      <w:pPr>
        <w:spacing w:after="120" w:line="240" w:lineRule="auto"/>
        <w:jc w:val="both"/>
        <w:rPr>
          <w:rFonts w:ascii="Garamond" w:hAnsi="Garamond"/>
        </w:rPr>
      </w:pPr>
      <w:r w:rsidRPr="00F111CA">
        <w:rPr>
          <w:rFonts w:ascii="Garamond" w:hAnsi="Garamond"/>
        </w:rPr>
        <w:t>El Área Construcción y Mejoramiento de Canchas Deportivas, en cambi</w:t>
      </w:r>
      <w:r w:rsidR="0076079C">
        <w:rPr>
          <w:rFonts w:ascii="Garamond" w:hAnsi="Garamond"/>
        </w:rPr>
        <w:t>o, representa alrededor de un 13</w:t>
      </w:r>
      <w:r w:rsidRPr="00F111CA">
        <w:rPr>
          <w:rFonts w:ascii="Garamond" w:hAnsi="Garamond"/>
        </w:rPr>
        <w:t xml:space="preserve"> % del total de la cartera PMU financiada</w:t>
      </w:r>
      <w:r w:rsidR="0076079C">
        <w:rPr>
          <w:rFonts w:ascii="Garamond" w:hAnsi="Garamond"/>
        </w:rPr>
        <w:t xml:space="preserve"> (excluyendo FIE)</w:t>
      </w:r>
      <w:r w:rsidRPr="00F111CA">
        <w:rPr>
          <w:rFonts w:ascii="Garamond" w:hAnsi="Garamond"/>
        </w:rPr>
        <w:t>, sin grandes variaciones porcentuales en el trienio, acumulando $ 19.509.302.028. Sin embargo, la Línea Modular relacionada, Fútbol Calle, sólo acumula 7 proyectos financiados durante el trienio (todos ellos de 2013), con una inversión de $ 289.407.877, esto es, sólo poco más del 1,48 % de lo financiado en el Área “par”.</w:t>
      </w:r>
    </w:p>
    <w:p w:rsidR="007F09A5" w:rsidRPr="00F111CA" w:rsidRDefault="00C666FC" w:rsidP="00E511B5">
      <w:pPr>
        <w:spacing w:after="120" w:line="240" w:lineRule="auto"/>
        <w:jc w:val="both"/>
        <w:rPr>
          <w:rFonts w:ascii="Garamond" w:hAnsi="Garamond"/>
        </w:rPr>
      </w:pPr>
      <w:r w:rsidRPr="00F111CA">
        <w:rPr>
          <w:rFonts w:ascii="Garamond" w:hAnsi="Garamond"/>
        </w:rPr>
        <w:t>Bastante similar a lo que ocurre con la inversión efectiva es lo que sucede con la demanda de inversión (revisada con bastantes limitaciones, dado el breve intervalo de tiempo cuya información se dispone: 2013-</w:t>
      </w:r>
      <w:r w:rsidR="00A45BD4" w:rsidRPr="00F111CA">
        <w:rPr>
          <w:rFonts w:ascii="Garamond" w:hAnsi="Garamond"/>
        </w:rPr>
        <w:t xml:space="preserve"> </w:t>
      </w:r>
      <w:r w:rsidRPr="00F111CA">
        <w:rPr>
          <w:rFonts w:ascii="Garamond" w:hAnsi="Garamond"/>
        </w:rPr>
        <w:t>mayo 2014) para las Líneas Modulares.</w:t>
      </w:r>
    </w:p>
    <w:p w:rsidR="0076079C" w:rsidRDefault="0076079C" w:rsidP="00E511B5">
      <w:pPr>
        <w:spacing w:after="120" w:line="240" w:lineRule="auto"/>
        <w:jc w:val="both"/>
        <w:rPr>
          <w:rFonts w:ascii="Garamond" w:hAnsi="Garamond"/>
        </w:rPr>
      </w:pPr>
      <w:r>
        <w:rPr>
          <w:rFonts w:ascii="Garamond" w:hAnsi="Garamond"/>
        </w:rPr>
        <w:t>En síntesis, la situación de las Líneas Modulares es la siguiente:</w:t>
      </w:r>
    </w:p>
    <w:p w:rsidR="0076079C" w:rsidRDefault="0076079C" w:rsidP="0076079C">
      <w:pPr>
        <w:pStyle w:val="Prrafodelista"/>
        <w:numPr>
          <w:ilvl w:val="0"/>
          <w:numId w:val="31"/>
        </w:numPr>
        <w:spacing w:after="120" w:line="240" w:lineRule="auto"/>
        <w:jc w:val="both"/>
        <w:rPr>
          <w:rFonts w:ascii="Garamond" w:hAnsi="Garamond"/>
        </w:rPr>
      </w:pPr>
      <w:r>
        <w:rPr>
          <w:rFonts w:ascii="Garamond" w:hAnsi="Garamond"/>
        </w:rPr>
        <w:t>L</w:t>
      </w:r>
      <w:r w:rsidR="00E511B5" w:rsidRPr="0076079C">
        <w:rPr>
          <w:rFonts w:ascii="Garamond" w:hAnsi="Garamond"/>
        </w:rPr>
        <w:t>os volúmenes de proyectos de las tres Líneas Modulares aquí revisadas resultan bastante marginales dentro de la cartera de</w:t>
      </w:r>
      <w:r>
        <w:rPr>
          <w:rFonts w:ascii="Garamond" w:hAnsi="Garamond"/>
        </w:rPr>
        <w:t xml:space="preserve"> proyectos aprobados por el PMU.</w:t>
      </w:r>
    </w:p>
    <w:p w:rsidR="0076079C" w:rsidRDefault="00833082" w:rsidP="0076079C">
      <w:pPr>
        <w:pStyle w:val="Prrafodelista"/>
        <w:numPr>
          <w:ilvl w:val="0"/>
          <w:numId w:val="31"/>
        </w:numPr>
        <w:spacing w:after="120" w:line="240" w:lineRule="auto"/>
        <w:jc w:val="both"/>
        <w:rPr>
          <w:rFonts w:ascii="Garamond" w:hAnsi="Garamond"/>
        </w:rPr>
      </w:pPr>
      <w:r w:rsidRPr="0076079C">
        <w:rPr>
          <w:rFonts w:ascii="Garamond" w:hAnsi="Garamond"/>
        </w:rPr>
        <w:t xml:space="preserve">Además, ya desde antes de 2011 existían áreas de inversión que incluían </w:t>
      </w:r>
      <w:proofErr w:type="spellStart"/>
      <w:r w:rsidRPr="0076079C">
        <w:rPr>
          <w:rFonts w:ascii="Garamond" w:hAnsi="Garamond"/>
        </w:rPr>
        <w:t>multicanchas</w:t>
      </w:r>
      <w:proofErr w:type="spellEnd"/>
      <w:r w:rsidRPr="0076079C">
        <w:rPr>
          <w:rFonts w:ascii="Garamond" w:hAnsi="Garamond"/>
        </w:rPr>
        <w:t xml:space="preserve"> y equipamiento complementario, puentes y pasarelas peatonales y plazas mobiliario público.</w:t>
      </w:r>
    </w:p>
    <w:p w:rsidR="0076079C" w:rsidRDefault="00833082" w:rsidP="0076079C">
      <w:pPr>
        <w:pStyle w:val="Prrafodelista"/>
        <w:numPr>
          <w:ilvl w:val="0"/>
          <w:numId w:val="31"/>
        </w:numPr>
        <w:spacing w:after="120" w:line="240" w:lineRule="auto"/>
        <w:jc w:val="both"/>
        <w:rPr>
          <w:rFonts w:ascii="Garamond" w:hAnsi="Garamond"/>
        </w:rPr>
      </w:pPr>
      <w:r w:rsidRPr="0076079C">
        <w:rPr>
          <w:rFonts w:ascii="Garamond" w:hAnsi="Garamond"/>
        </w:rPr>
        <w:t xml:space="preserve">A </w:t>
      </w:r>
      <w:r w:rsidR="00E511B5" w:rsidRPr="0076079C">
        <w:rPr>
          <w:rFonts w:ascii="Garamond" w:hAnsi="Garamond"/>
        </w:rPr>
        <w:t xml:space="preserve">este criterio </w:t>
      </w:r>
      <w:r w:rsidRPr="0076079C">
        <w:rPr>
          <w:rFonts w:ascii="Garamond" w:hAnsi="Garamond"/>
        </w:rPr>
        <w:t xml:space="preserve">agreguemos </w:t>
      </w:r>
      <w:r w:rsidR="00E511B5" w:rsidRPr="0076079C">
        <w:rPr>
          <w:rFonts w:ascii="Garamond" w:hAnsi="Garamond"/>
        </w:rPr>
        <w:t xml:space="preserve">que dichas Líneas no </w:t>
      </w:r>
      <w:r w:rsidR="00153518" w:rsidRPr="0076079C">
        <w:rPr>
          <w:rFonts w:ascii="Garamond" w:hAnsi="Garamond"/>
        </w:rPr>
        <w:t>contaron con</w:t>
      </w:r>
      <w:r w:rsidR="00E511B5" w:rsidRPr="0076079C">
        <w:rPr>
          <w:rFonts w:ascii="Garamond" w:hAnsi="Garamond"/>
        </w:rPr>
        <w:t xml:space="preserve"> asignaciones presupuestarias especiales ni criterios de discriminación positiva dentro del conjunto de postulaciones y financiamientos del PMU, </w:t>
      </w:r>
      <w:r w:rsidRPr="0076079C">
        <w:rPr>
          <w:rFonts w:ascii="Garamond" w:hAnsi="Garamond"/>
        </w:rPr>
        <w:t>sino que su instalación se limitó a una cierta campaña comunicacional y a la elaboración de manuales t</w:t>
      </w:r>
      <w:r w:rsidR="0076079C">
        <w:rPr>
          <w:rFonts w:ascii="Garamond" w:hAnsi="Garamond"/>
        </w:rPr>
        <w:t>écnicos de diseño de proyectos.</w:t>
      </w:r>
    </w:p>
    <w:p w:rsidR="0076079C" w:rsidRDefault="00833082" w:rsidP="0076079C">
      <w:pPr>
        <w:pStyle w:val="Prrafodelista"/>
        <w:numPr>
          <w:ilvl w:val="0"/>
          <w:numId w:val="31"/>
        </w:numPr>
        <w:spacing w:after="120" w:line="240" w:lineRule="auto"/>
        <w:jc w:val="both"/>
        <w:rPr>
          <w:rFonts w:ascii="Garamond" w:hAnsi="Garamond"/>
        </w:rPr>
      </w:pPr>
      <w:r w:rsidRPr="0076079C">
        <w:rPr>
          <w:rFonts w:ascii="Garamond" w:hAnsi="Garamond"/>
        </w:rPr>
        <w:t>Agreguemos, por último, que no aparece en la información del PMU un diagnóstico que justifique orientar recursos especia</w:t>
      </w:r>
      <w:r w:rsidR="0076079C">
        <w:rPr>
          <w:rFonts w:ascii="Garamond" w:hAnsi="Garamond"/>
        </w:rPr>
        <w:t>les a esas Líneas de inversión.</w:t>
      </w:r>
    </w:p>
    <w:p w:rsidR="00E511B5" w:rsidRPr="0076079C" w:rsidRDefault="00833082" w:rsidP="0076079C">
      <w:pPr>
        <w:spacing w:after="120" w:line="240" w:lineRule="auto"/>
        <w:jc w:val="both"/>
        <w:rPr>
          <w:rFonts w:ascii="Garamond" w:hAnsi="Garamond"/>
        </w:rPr>
      </w:pPr>
      <w:r w:rsidRPr="0076079C">
        <w:rPr>
          <w:rFonts w:ascii="Garamond" w:hAnsi="Garamond"/>
        </w:rPr>
        <w:lastRenderedPageBreak/>
        <w:t>Entonces, resulta</w:t>
      </w:r>
      <w:r w:rsidR="00E511B5" w:rsidRPr="0076079C">
        <w:rPr>
          <w:rFonts w:ascii="Garamond" w:hAnsi="Garamond"/>
        </w:rPr>
        <w:t xml:space="preserve"> pertinente preguntarse si</w:t>
      </w:r>
      <w:r w:rsidRPr="0076079C">
        <w:rPr>
          <w:rFonts w:ascii="Garamond" w:hAnsi="Garamond"/>
        </w:rPr>
        <w:t>, sin diagnóstico, tenía sentido dar curso especial a ciertas tipologías de proyectos y si, sólo con campaña y manuales</w:t>
      </w:r>
      <w:r w:rsidR="00153518" w:rsidRPr="0076079C">
        <w:rPr>
          <w:rFonts w:ascii="Garamond" w:hAnsi="Garamond"/>
        </w:rPr>
        <w:t>,</w:t>
      </w:r>
      <w:r w:rsidRPr="0076079C">
        <w:rPr>
          <w:rFonts w:ascii="Garamond" w:hAnsi="Garamond"/>
        </w:rPr>
        <w:t xml:space="preserve"> hubo un fomento suficiente para dar una orientación nueva o especial al tipo de proyectos postulados al PMU y finalmente financiados.</w:t>
      </w:r>
      <w:r w:rsidR="00153518" w:rsidRPr="0076079C">
        <w:rPr>
          <w:rFonts w:ascii="Garamond" w:hAnsi="Garamond"/>
        </w:rPr>
        <w:t xml:space="preserve"> El caso que podría efectivamente haber sido pertinente, pues establece una diferencia cualitativa en relación con los proyectos de mobiliario anteriores a 2011, es el de EVS, que ha agregado de manera evidente la actividad deportiva a las actividades recreativas tradicionales que se llevan a cabo en plazas y parques públicos.</w:t>
      </w:r>
    </w:p>
    <w:p w:rsidR="00E511B5" w:rsidRDefault="00E511B5" w:rsidP="00A1635E">
      <w:pPr>
        <w:spacing w:after="120" w:line="240" w:lineRule="auto"/>
        <w:jc w:val="both"/>
        <w:rPr>
          <w:rFonts w:ascii="Garamond" w:hAnsi="Garamond"/>
        </w:rPr>
      </w:pPr>
    </w:p>
    <w:p w:rsidR="00E511B5" w:rsidRPr="00F111CA" w:rsidRDefault="00CB2FB2" w:rsidP="0083389C">
      <w:pPr>
        <w:pStyle w:val="Prrafodelista"/>
        <w:numPr>
          <w:ilvl w:val="0"/>
          <w:numId w:val="30"/>
        </w:numPr>
        <w:spacing w:after="120" w:line="240" w:lineRule="auto"/>
        <w:jc w:val="both"/>
        <w:rPr>
          <w:rFonts w:ascii="Garamond" w:hAnsi="Garamond"/>
          <w:b/>
        </w:rPr>
      </w:pPr>
      <w:r w:rsidRPr="00F111CA">
        <w:rPr>
          <w:rFonts w:ascii="Garamond" w:hAnsi="Garamond"/>
          <w:b/>
        </w:rPr>
        <w:t>EMPLEO GENERADO POR LOS PROYECTOS PMU</w:t>
      </w:r>
    </w:p>
    <w:p w:rsidR="00A1635E" w:rsidRPr="00F111CA" w:rsidRDefault="007F09A5" w:rsidP="008F39CC">
      <w:pPr>
        <w:spacing w:after="120" w:line="240" w:lineRule="auto"/>
        <w:jc w:val="both"/>
        <w:rPr>
          <w:rFonts w:ascii="Garamond" w:hAnsi="Garamond"/>
        </w:rPr>
      </w:pPr>
      <w:r w:rsidRPr="00F111CA">
        <w:rPr>
          <w:rFonts w:ascii="Garamond" w:hAnsi="Garamond"/>
        </w:rPr>
        <w:t xml:space="preserve">De acuerdo con los datos disponibles, hay importantes variaciones entre 2011 y 2013 en la generación de empleo informada por los proyectos como para establecer conclusiones de interés. Lo único que se puede afirmar es un dato general: los promedios de empleos creados </w:t>
      </w:r>
      <w:r w:rsidR="0076079C">
        <w:rPr>
          <w:rFonts w:ascii="Garamond" w:hAnsi="Garamond"/>
        </w:rPr>
        <w:t xml:space="preserve">(proyectados) </w:t>
      </w:r>
      <w:r w:rsidRPr="00F111CA">
        <w:rPr>
          <w:rFonts w:ascii="Garamond" w:hAnsi="Garamond"/>
        </w:rPr>
        <w:t>por proyecto se mueven entre 9 y 36, como dato general. Se trata de un amplio rango que, además, no se puede asociar al tipo de ejecución (directa o por licitación), ni a la fuente PMU (Tradicional o Emergencia).</w:t>
      </w:r>
      <w:bookmarkStart w:id="0" w:name="_GoBack"/>
      <w:bookmarkEnd w:id="0"/>
    </w:p>
    <w:p w:rsidR="00271D4E" w:rsidRPr="00F111CA" w:rsidRDefault="00271D4E" w:rsidP="00AB4DFC">
      <w:pPr>
        <w:spacing w:after="120" w:line="240" w:lineRule="auto"/>
        <w:jc w:val="both"/>
        <w:rPr>
          <w:rFonts w:ascii="Garamond" w:hAnsi="Garamond"/>
        </w:rPr>
      </w:pPr>
    </w:p>
    <w:p w:rsidR="00271D4E" w:rsidRPr="00F111CA" w:rsidRDefault="00271D4E" w:rsidP="00AB4DFC">
      <w:pPr>
        <w:spacing w:after="120" w:line="240" w:lineRule="auto"/>
        <w:jc w:val="both"/>
        <w:rPr>
          <w:rFonts w:ascii="Garamond" w:hAnsi="Garamond"/>
        </w:rPr>
      </w:pPr>
    </w:p>
    <w:p w:rsidR="00271D4E" w:rsidRPr="00F111CA" w:rsidRDefault="00271D4E" w:rsidP="00AB4DFC">
      <w:pPr>
        <w:spacing w:after="120" w:line="240" w:lineRule="auto"/>
        <w:jc w:val="both"/>
        <w:rPr>
          <w:rFonts w:ascii="Garamond" w:hAnsi="Garamond"/>
        </w:rPr>
      </w:pPr>
    </w:p>
    <w:p w:rsidR="007A6558" w:rsidRPr="00F111CA" w:rsidRDefault="007A6558" w:rsidP="00AB4DFC">
      <w:pPr>
        <w:spacing w:after="120" w:line="240" w:lineRule="auto"/>
        <w:jc w:val="both"/>
        <w:rPr>
          <w:rFonts w:ascii="Garamond" w:hAnsi="Garamond"/>
        </w:rPr>
      </w:pPr>
    </w:p>
    <w:p w:rsidR="006046D3" w:rsidRPr="00F111CA" w:rsidRDefault="006046D3" w:rsidP="00AB4DFC">
      <w:pPr>
        <w:spacing w:after="120" w:line="240" w:lineRule="auto"/>
        <w:jc w:val="both"/>
        <w:rPr>
          <w:rFonts w:ascii="Garamond" w:hAnsi="Garamond"/>
        </w:rPr>
      </w:pPr>
    </w:p>
    <w:p w:rsidR="006046D3" w:rsidRPr="00F111CA" w:rsidRDefault="006046D3" w:rsidP="00AB4DFC">
      <w:pPr>
        <w:spacing w:after="120" w:line="240" w:lineRule="auto"/>
        <w:jc w:val="both"/>
        <w:rPr>
          <w:rFonts w:ascii="Garamond" w:hAnsi="Garamond"/>
        </w:rPr>
      </w:pPr>
    </w:p>
    <w:p w:rsidR="00C6733C" w:rsidRPr="00F111CA" w:rsidRDefault="00C6733C" w:rsidP="00AB4DFC">
      <w:pPr>
        <w:spacing w:after="120" w:line="240" w:lineRule="auto"/>
        <w:jc w:val="both"/>
        <w:rPr>
          <w:rFonts w:ascii="Garamond" w:hAnsi="Garamond"/>
          <w:b/>
          <w:sz w:val="36"/>
        </w:rPr>
      </w:pPr>
    </w:p>
    <w:sectPr w:rsidR="00C6733C" w:rsidRPr="00F111CA" w:rsidSect="00057810">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F1" w:rsidRDefault="000032F1" w:rsidP="009B0C83">
      <w:pPr>
        <w:spacing w:after="0" w:line="240" w:lineRule="auto"/>
      </w:pPr>
      <w:r>
        <w:separator/>
      </w:r>
    </w:p>
  </w:endnote>
  <w:endnote w:type="continuationSeparator" w:id="0">
    <w:p w:rsidR="000032F1" w:rsidRDefault="000032F1" w:rsidP="009B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28228"/>
      <w:docPartObj>
        <w:docPartGallery w:val="Page Numbers (Bottom of Page)"/>
        <w:docPartUnique/>
      </w:docPartObj>
    </w:sdtPr>
    <w:sdtContent>
      <w:p w:rsidR="002A0772" w:rsidRPr="00371FDF" w:rsidRDefault="002A0772" w:rsidP="00F111CA">
        <w:pPr>
          <w:pStyle w:val="Piedepgina"/>
          <w:pBdr>
            <w:top w:val="thinThickSmallGap" w:sz="24" w:space="1" w:color="622423" w:themeColor="accent2" w:themeShade="7F"/>
          </w:pBdr>
          <w:rPr>
            <w:rFonts w:ascii="Garamond" w:eastAsiaTheme="majorEastAsia" w:hAnsi="Garamond" w:cstheme="majorBidi"/>
          </w:rPr>
        </w:pPr>
        <w:r w:rsidRPr="00371FDF">
          <w:rPr>
            <w:rFonts w:ascii="Garamond" w:eastAsiaTheme="majorEastAsia" w:hAnsi="Garamond" w:cstheme="majorBidi"/>
          </w:rPr>
          <w:t xml:space="preserve">Departamento de Estudios y Evaluación </w:t>
        </w:r>
        <w:r>
          <w:rPr>
            <w:rFonts w:ascii="Garamond" w:eastAsiaTheme="majorEastAsia" w:hAnsi="Garamond" w:cstheme="majorBidi"/>
          </w:rPr>
          <w:t xml:space="preserve">- </w:t>
        </w:r>
        <w:r w:rsidRPr="00371FDF">
          <w:rPr>
            <w:rFonts w:ascii="Garamond" w:eastAsiaTheme="majorEastAsia" w:hAnsi="Garamond" w:cstheme="majorBidi"/>
          </w:rPr>
          <w:t xml:space="preserve">División de Políticas y Estudios SUBDERE  </w:t>
        </w:r>
        <w:r w:rsidRPr="00371FDF">
          <w:rPr>
            <w:rFonts w:ascii="Garamond" w:eastAsiaTheme="majorEastAsia" w:hAnsi="Garamond" w:cstheme="majorBidi"/>
          </w:rPr>
          <w:ptab w:relativeTo="margin" w:alignment="right" w:leader="none"/>
        </w:r>
        <w:r w:rsidRPr="00371FDF">
          <w:rPr>
            <w:rFonts w:ascii="Garamond" w:eastAsiaTheme="majorEastAsia" w:hAnsi="Garamond" w:cstheme="majorBidi"/>
            <w:lang w:val="es-ES"/>
          </w:rPr>
          <w:t xml:space="preserve">Página </w:t>
        </w:r>
        <w:r w:rsidRPr="00371FDF">
          <w:rPr>
            <w:rFonts w:ascii="Garamond" w:eastAsiaTheme="minorEastAsia" w:hAnsi="Garamond"/>
          </w:rPr>
          <w:fldChar w:fldCharType="begin"/>
        </w:r>
        <w:r w:rsidRPr="00371FDF">
          <w:rPr>
            <w:rFonts w:ascii="Garamond" w:hAnsi="Garamond"/>
          </w:rPr>
          <w:instrText>PAGE   \* MERGEFORMAT</w:instrText>
        </w:r>
        <w:r w:rsidRPr="00371FDF">
          <w:rPr>
            <w:rFonts w:ascii="Garamond" w:eastAsiaTheme="minorEastAsia" w:hAnsi="Garamond"/>
          </w:rPr>
          <w:fldChar w:fldCharType="separate"/>
        </w:r>
        <w:r w:rsidR="0076079C" w:rsidRPr="0076079C">
          <w:rPr>
            <w:rFonts w:ascii="Garamond" w:eastAsiaTheme="majorEastAsia" w:hAnsi="Garamond" w:cstheme="majorBidi"/>
            <w:noProof/>
            <w:lang w:val="es-ES"/>
          </w:rPr>
          <w:t>29</w:t>
        </w:r>
        <w:r w:rsidRPr="00371FDF">
          <w:rPr>
            <w:rFonts w:ascii="Garamond" w:eastAsiaTheme="majorEastAsia" w:hAnsi="Garamond" w:cstheme="majorBidi"/>
          </w:rPr>
          <w:fldChar w:fldCharType="end"/>
        </w:r>
      </w:p>
      <w:p w:rsidR="002A0772" w:rsidRDefault="002A0772">
        <w:pPr>
          <w:pStyle w:val="Piedepgina"/>
          <w:jc w:val="center"/>
        </w:pPr>
      </w:p>
    </w:sdtContent>
  </w:sdt>
  <w:p w:rsidR="002A0772" w:rsidRDefault="002A07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F1" w:rsidRDefault="000032F1" w:rsidP="009B0C83">
      <w:pPr>
        <w:spacing w:after="0" w:line="240" w:lineRule="auto"/>
      </w:pPr>
      <w:r>
        <w:separator/>
      </w:r>
    </w:p>
  </w:footnote>
  <w:footnote w:type="continuationSeparator" w:id="0">
    <w:p w:rsidR="000032F1" w:rsidRDefault="000032F1" w:rsidP="009B0C83">
      <w:pPr>
        <w:spacing w:after="0" w:line="240" w:lineRule="auto"/>
      </w:pPr>
      <w:r>
        <w:continuationSeparator/>
      </w:r>
    </w:p>
  </w:footnote>
  <w:footnote w:id="1">
    <w:p w:rsidR="002A0772" w:rsidRPr="00F111CA" w:rsidRDefault="002A0772" w:rsidP="00F111CA">
      <w:pPr>
        <w:pStyle w:val="Textonotapie"/>
        <w:ind w:left="708" w:hanging="708"/>
        <w:jc w:val="both"/>
        <w:rPr>
          <w:rFonts w:ascii="Garamond" w:hAnsi="Garamond"/>
        </w:rPr>
      </w:pPr>
      <w:r w:rsidRPr="00F111CA">
        <w:rPr>
          <w:rStyle w:val="Refdenotaalpie"/>
          <w:rFonts w:ascii="Garamond" w:hAnsi="Garamond"/>
        </w:rPr>
        <w:footnoteRef/>
      </w:r>
      <w:r w:rsidRPr="00F111CA">
        <w:rPr>
          <w:rFonts w:ascii="Garamond" w:hAnsi="Garamond"/>
        </w:rPr>
        <w:t xml:space="preserve"> </w:t>
      </w:r>
      <w:r>
        <w:rPr>
          <w:rFonts w:ascii="Garamond" w:hAnsi="Garamond"/>
        </w:rPr>
        <w:tab/>
      </w:r>
      <w:r w:rsidRPr="00F111CA">
        <w:rPr>
          <w:rFonts w:ascii="Garamond" w:hAnsi="Garamond"/>
        </w:rPr>
        <w:t>En vista que se trabaja con distintas bases de datos, las Áreas de Inversión definidas para el análisis de la demanda son distintas a las Áreas de Inversión que se utilizarán para el análisis de inversión efectiva.</w:t>
      </w:r>
    </w:p>
  </w:footnote>
  <w:footnote w:id="2">
    <w:p w:rsidR="002A0772" w:rsidRPr="00F111CA" w:rsidRDefault="002A0772" w:rsidP="00F111CA">
      <w:pPr>
        <w:pStyle w:val="Textonotapie"/>
        <w:ind w:left="708" w:hanging="708"/>
        <w:jc w:val="both"/>
        <w:rPr>
          <w:rFonts w:ascii="Garamond" w:hAnsi="Garamond"/>
        </w:rPr>
      </w:pPr>
      <w:r w:rsidRPr="00F111CA">
        <w:rPr>
          <w:rStyle w:val="Refdenotaalpie"/>
          <w:rFonts w:ascii="Garamond" w:hAnsi="Garamond"/>
        </w:rPr>
        <w:footnoteRef/>
      </w:r>
      <w:r>
        <w:rPr>
          <w:rFonts w:ascii="Garamond" w:hAnsi="Garamond"/>
        </w:rPr>
        <w:tab/>
      </w:r>
      <w:r w:rsidRPr="00F111CA">
        <w:rPr>
          <w:rFonts w:ascii="Garamond" w:hAnsi="Garamond"/>
        </w:rPr>
        <w:t>Se dejó fuera de la tabla, para no distorsionar el análisis, los proyectos: MEJORAMIENTO CIRCUITO PORTALES O HIGGINS SAN ANTONIO ($ 3.348.163.000) código  1-C-2013-2346; y CONSTRUCCION PÓRTICOS ORNAMENTALES Y EDUCATIVOS ($ 297.629.764.000), código 1-C-2013-88; por lo demás, se trata de proyectos totalmente excepcionales, según informó el equipo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72" w:rsidRDefault="002A0772">
    <w:pPr>
      <w:pStyle w:val="Encabezado"/>
    </w:pPr>
    <w:r>
      <w:rPr>
        <w:noProof/>
        <w:lang w:eastAsia="es-CL"/>
      </w:rPr>
      <w:drawing>
        <wp:inline distT="0" distB="0" distL="0" distR="0" wp14:anchorId="15B84FDD" wp14:editId="5EA7450A">
          <wp:extent cx="675861" cy="62387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61" cy="62387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72" w:rsidRDefault="002A0772">
    <w:pPr>
      <w:pStyle w:val="Encabezado"/>
    </w:pPr>
    <w:r>
      <w:rPr>
        <w:noProof/>
        <w:lang w:eastAsia="es-CL"/>
      </w:rPr>
      <w:drawing>
        <wp:inline distT="0" distB="0" distL="0" distR="0" wp14:anchorId="6BEEEE3B" wp14:editId="26442BAC">
          <wp:extent cx="792480" cy="73152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315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236E"/>
    <w:multiLevelType w:val="hybridMultilevel"/>
    <w:tmpl w:val="43349F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F47219"/>
    <w:multiLevelType w:val="hybridMultilevel"/>
    <w:tmpl w:val="F7447F14"/>
    <w:lvl w:ilvl="0" w:tplc="944CC1F4">
      <w:start w:val="1"/>
      <w:numFmt w:val="decimal"/>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312FCE"/>
    <w:multiLevelType w:val="hybridMultilevel"/>
    <w:tmpl w:val="7D9C62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4F1074"/>
    <w:multiLevelType w:val="hybridMultilevel"/>
    <w:tmpl w:val="CAA6F5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096C70"/>
    <w:multiLevelType w:val="hybridMultilevel"/>
    <w:tmpl w:val="5C42E7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200D54"/>
    <w:multiLevelType w:val="hybridMultilevel"/>
    <w:tmpl w:val="3E8E4B6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2A6B0BD2"/>
    <w:multiLevelType w:val="hybridMultilevel"/>
    <w:tmpl w:val="AAECC5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3503113"/>
    <w:multiLevelType w:val="hybridMultilevel"/>
    <w:tmpl w:val="98C433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2E69FC"/>
    <w:multiLevelType w:val="hybridMultilevel"/>
    <w:tmpl w:val="75A263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9E71D87"/>
    <w:multiLevelType w:val="hybridMultilevel"/>
    <w:tmpl w:val="F7447F14"/>
    <w:lvl w:ilvl="0" w:tplc="944CC1F4">
      <w:start w:val="1"/>
      <w:numFmt w:val="decimal"/>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DB17B1E"/>
    <w:multiLevelType w:val="hybridMultilevel"/>
    <w:tmpl w:val="242E41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1DE1270"/>
    <w:multiLevelType w:val="hybridMultilevel"/>
    <w:tmpl w:val="16D8AE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2DC3FFD"/>
    <w:multiLevelType w:val="hybridMultilevel"/>
    <w:tmpl w:val="E5C0AC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3997D4A"/>
    <w:multiLevelType w:val="hybridMultilevel"/>
    <w:tmpl w:val="CD000C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6154805"/>
    <w:multiLevelType w:val="hybridMultilevel"/>
    <w:tmpl w:val="E1ECA4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7AF4A51"/>
    <w:multiLevelType w:val="hybridMultilevel"/>
    <w:tmpl w:val="F7447F14"/>
    <w:lvl w:ilvl="0" w:tplc="944CC1F4">
      <w:start w:val="1"/>
      <w:numFmt w:val="decimal"/>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8703D04"/>
    <w:multiLevelType w:val="hybridMultilevel"/>
    <w:tmpl w:val="99028C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B5B21A0"/>
    <w:multiLevelType w:val="hybridMultilevel"/>
    <w:tmpl w:val="0FFEF8AE"/>
    <w:lvl w:ilvl="0" w:tplc="3D36BD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1846A5"/>
    <w:multiLevelType w:val="hybridMultilevel"/>
    <w:tmpl w:val="8E96AB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EA971CD"/>
    <w:multiLevelType w:val="hybridMultilevel"/>
    <w:tmpl w:val="C68A3C62"/>
    <w:lvl w:ilvl="0" w:tplc="737A6E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CB67E22"/>
    <w:multiLevelType w:val="hybridMultilevel"/>
    <w:tmpl w:val="592E9442"/>
    <w:lvl w:ilvl="0" w:tplc="944CC1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1001510"/>
    <w:multiLevelType w:val="hybridMultilevel"/>
    <w:tmpl w:val="5A165D7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nsid w:val="64751841"/>
    <w:multiLevelType w:val="hybridMultilevel"/>
    <w:tmpl w:val="7BFCE3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51B08EB"/>
    <w:multiLevelType w:val="hybridMultilevel"/>
    <w:tmpl w:val="5EEACE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BBE14AF"/>
    <w:multiLevelType w:val="hybridMultilevel"/>
    <w:tmpl w:val="7D049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2D17BBD"/>
    <w:multiLevelType w:val="hybridMultilevel"/>
    <w:tmpl w:val="F7447F14"/>
    <w:lvl w:ilvl="0" w:tplc="944CC1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34F7874"/>
    <w:multiLevelType w:val="hybridMultilevel"/>
    <w:tmpl w:val="592E9442"/>
    <w:lvl w:ilvl="0" w:tplc="944CC1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4CE662E"/>
    <w:multiLevelType w:val="hybridMultilevel"/>
    <w:tmpl w:val="5FF233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B595ADC"/>
    <w:multiLevelType w:val="hybridMultilevel"/>
    <w:tmpl w:val="3F947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E4C0C2F"/>
    <w:multiLevelType w:val="hybridMultilevel"/>
    <w:tmpl w:val="2CA28A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E780B8D"/>
    <w:multiLevelType w:val="hybridMultilevel"/>
    <w:tmpl w:val="53F2CD0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2"/>
  </w:num>
  <w:num w:numId="5">
    <w:abstractNumId w:val="4"/>
  </w:num>
  <w:num w:numId="6">
    <w:abstractNumId w:val="14"/>
  </w:num>
  <w:num w:numId="7">
    <w:abstractNumId w:val="24"/>
  </w:num>
  <w:num w:numId="8">
    <w:abstractNumId w:val="21"/>
  </w:num>
  <w:num w:numId="9">
    <w:abstractNumId w:val="27"/>
  </w:num>
  <w:num w:numId="10">
    <w:abstractNumId w:val="8"/>
  </w:num>
  <w:num w:numId="11">
    <w:abstractNumId w:val="22"/>
  </w:num>
  <w:num w:numId="12">
    <w:abstractNumId w:val="23"/>
  </w:num>
  <w:num w:numId="13">
    <w:abstractNumId w:val="6"/>
  </w:num>
  <w:num w:numId="14">
    <w:abstractNumId w:val="18"/>
  </w:num>
  <w:num w:numId="15">
    <w:abstractNumId w:val="13"/>
  </w:num>
  <w:num w:numId="16">
    <w:abstractNumId w:val="10"/>
  </w:num>
  <w:num w:numId="17">
    <w:abstractNumId w:val="5"/>
  </w:num>
  <w:num w:numId="18">
    <w:abstractNumId w:val="17"/>
  </w:num>
  <w:num w:numId="19">
    <w:abstractNumId w:val="16"/>
  </w:num>
  <w:num w:numId="20">
    <w:abstractNumId w:val="15"/>
  </w:num>
  <w:num w:numId="21">
    <w:abstractNumId w:val="20"/>
  </w:num>
  <w:num w:numId="22">
    <w:abstractNumId w:val="26"/>
  </w:num>
  <w:num w:numId="23">
    <w:abstractNumId w:val="25"/>
  </w:num>
  <w:num w:numId="24">
    <w:abstractNumId w:val="30"/>
  </w:num>
  <w:num w:numId="25">
    <w:abstractNumId w:val="19"/>
  </w:num>
  <w:num w:numId="26">
    <w:abstractNumId w:val="29"/>
  </w:num>
  <w:num w:numId="27">
    <w:abstractNumId w:val="28"/>
  </w:num>
  <w:num w:numId="28">
    <w:abstractNumId w:val="9"/>
  </w:num>
  <w:num w:numId="29">
    <w:abstractNumId w:val="1"/>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45"/>
    <w:rsid w:val="00002602"/>
    <w:rsid w:val="000032F1"/>
    <w:rsid w:val="00015878"/>
    <w:rsid w:val="00030572"/>
    <w:rsid w:val="00030656"/>
    <w:rsid w:val="00032434"/>
    <w:rsid w:val="000369BF"/>
    <w:rsid w:val="0004467A"/>
    <w:rsid w:val="000448E7"/>
    <w:rsid w:val="00051333"/>
    <w:rsid w:val="00054434"/>
    <w:rsid w:val="00054976"/>
    <w:rsid w:val="00057810"/>
    <w:rsid w:val="00057AF3"/>
    <w:rsid w:val="00061392"/>
    <w:rsid w:val="000722F5"/>
    <w:rsid w:val="00072914"/>
    <w:rsid w:val="00076F00"/>
    <w:rsid w:val="00077E99"/>
    <w:rsid w:val="000924E8"/>
    <w:rsid w:val="000A5DEE"/>
    <w:rsid w:val="000A6259"/>
    <w:rsid w:val="000B1E2A"/>
    <w:rsid w:val="000B2D74"/>
    <w:rsid w:val="000B2F48"/>
    <w:rsid w:val="000B7665"/>
    <w:rsid w:val="000C24EF"/>
    <w:rsid w:val="000C3228"/>
    <w:rsid w:val="000C66C4"/>
    <w:rsid w:val="000C73E3"/>
    <w:rsid w:val="000D3583"/>
    <w:rsid w:val="000D6B80"/>
    <w:rsid w:val="000D7CEC"/>
    <w:rsid w:val="000D7EDB"/>
    <w:rsid w:val="000E2BA2"/>
    <w:rsid w:val="000E5CA7"/>
    <w:rsid w:val="000F1C81"/>
    <w:rsid w:val="000F3C85"/>
    <w:rsid w:val="000F73FF"/>
    <w:rsid w:val="00105865"/>
    <w:rsid w:val="001152CA"/>
    <w:rsid w:val="001203D6"/>
    <w:rsid w:val="00121D34"/>
    <w:rsid w:val="00130461"/>
    <w:rsid w:val="00142384"/>
    <w:rsid w:val="001467E4"/>
    <w:rsid w:val="00153518"/>
    <w:rsid w:val="00156FDE"/>
    <w:rsid w:val="00160EDF"/>
    <w:rsid w:val="00170577"/>
    <w:rsid w:val="00175969"/>
    <w:rsid w:val="00180A97"/>
    <w:rsid w:val="001916D6"/>
    <w:rsid w:val="0019533D"/>
    <w:rsid w:val="001A06ED"/>
    <w:rsid w:val="001A098C"/>
    <w:rsid w:val="001A2003"/>
    <w:rsid w:val="001A3301"/>
    <w:rsid w:val="001A708F"/>
    <w:rsid w:val="001B733A"/>
    <w:rsid w:val="001C3B85"/>
    <w:rsid w:val="001C5FDE"/>
    <w:rsid w:val="001D31FE"/>
    <w:rsid w:val="001D408D"/>
    <w:rsid w:val="001D410D"/>
    <w:rsid w:val="001D52BD"/>
    <w:rsid w:val="001D6F73"/>
    <w:rsid w:val="001F344E"/>
    <w:rsid w:val="001F44DC"/>
    <w:rsid w:val="001F68EA"/>
    <w:rsid w:val="002022A7"/>
    <w:rsid w:val="00202637"/>
    <w:rsid w:val="002114C5"/>
    <w:rsid w:val="00215850"/>
    <w:rsid w:val="0022530B"/>
    <w:rsid w:val="00230AEC"/>
    <w:rsid w:val="002340EC"/>
    <w:rsid w:val="00234924"/>
    <w:rsid w:val="00234AFD"/>
    <w:rsid w:val="002435EE"/>
    <w:rsid w:val="002521E5"/>
    <w:rsid w:val="00252F8C"/>
    <w:rsid w:val="00255B93"/>
    <w:rsid w:val="00257204"/>
    <w:rsid w:val="00264D33"/>
    <w:rsid w:val="00270676"/>
    <w:rsid w:val="00271D4E"/>
    <w:rsid w:val="00274AFD"/>
    <w:rsid w:val="00276233"/>
    <w:rsid w:val="00280E4E"/>
    <w:rsid w:val="00281F20"/>
    <w:rsid w:val="002850AE"/>
    <w:rsid w:val="00290438"/>
    <w:rsid w:val="0029611E"/>
    <w:rsid w:val="00296662"/>
    <w:rsid w:val="0029788A"/>
    <w:rsid w:val="002A0772"/>
    <w:rsid w:val="002A1BDF"/>
    <w:rsid w:val="002A3DDB"/>
    <w:rsid w:val="002B1B72"/>
    <w:rsid w:val="002B4560"/>
    <w:rsid w:val="002B79D9"/>
    <w:rsid w:val="002C14B3"/>
    <w:rsid w:val="002C6620"/>
    <w:rsid w:val="002D39D0"/>
    <w:rsid w:val="002D4325"/>
    <w:rsid w:val="002E5C6E"/>
    <w:rsid w:val="002F3ADF"/>
    <w:rsid w:val="0031533A"/>
    <w:rsid w:val="00316BBB"/>
    <w:rsid w:val="003242F4"/>
    <w:rsid w:val="003270E3"/>
    <w:rsid w:val="0033291C"/>
    <w:rsid w:val="0033519E"/>
    <w:rsid w:val="00343DB5"/>
    <w:rsid w:val="00344B22"/>
    <w:rsid w:val="00347210"/>
    <w:rsid w:val="00350291"/>
    <w:rsid w:val="00352BF9"/>
    <w:rsid w:val="00353222"/>
    <w:rsid w:val="003633AC"/>
    <w:rsid w:val="00366724"/>
    <w:rsid w:val="0036723E"/>
    <w:rsid w:val="0037099B"/>
    <w:rsid w:val="00376F57"/>
    <w:rsid w:val="00381E7A"/>
    <w:rsid w:val="00384946"/>
    <w:rsid w:val="00385A49"/>
    <w:rsid w:val="003902DA"/>
    <w:rsid w:val="0039084B"/>
    <w:rsid w:val="00395250"/>
    <w:rsid w:val="003A53CB"/>
    <w:rsid w:val="003C22C0"/>
    <w:rsid w:val="003C32D7"/>
    <w:rsid w:val="003C5941"/>
    <w:rsid w:val="003D0059"/>
    <w:rsid w:val="003D205A"/>
    <w:rsid w:val="003D3173"/>
    <w:rsid w:val="003D3EC6"/>
    <w:rsid w:val="003D571B"/>
    <w:rsid w:val="003D72DB"/>
    <w:rsid w:val="003E3B94"/>
    <w:rsid w:val="003E4C94"/>
    <w:rsid w:val="003E4D05"/>
    <w:rsid w:val="003E5149"/>
    <w:rsid w:val="003F23F4"/>
    <w:rsid w:val="003F5BC2"/>
    <w:rsid w:val="003F649E"/>
    <w:rsid w:val="00400B08"/>
    <w:rsid w:val="0040613D"/>
    <w:rsid w:val="00410346"/>
    <w:rsid w:val="00410DD0"/>
    <w:rsid w:val="004132FC"/>
    <w:rsid w:val="00425A59"/>
    <w:rsid w:val="00426A5F"/>
    <w:rsid w:val="00427DB1"/>
    <w:rsid w:val="00431283"/>
    <w:rsid w:val="00431D0E"/>
    <w:rsid w:val="00432EC6"/>
    <w:rsid w:val="00437B3F"/>
    <w:rsid w:val="00440A9B"/>
    <w:rsid w:val="00440CD7"/>
    <w:rsid w:val="004412D1"/>
    <w:rsid w:val="00441E35"/>
    <w:rsid w:val="00442C1F"/>
    <w:rsid w:val="00445FAC"/>
    <w:rsid w:val="00447571"/>
    <w:rsid w:val="004502EC"/>
    <w:rsid w:val="0045077D"/>
    <w:rsid w:val="00452AF0"/>
    <w:rsid w:val="00452E5E"/>
    <w:rsid w:val="004547D3"/>
    <w:rsid w:val="00454F1C"/>
    <w:rsid w:val="004553B7"/>
    <w:rsid w:val="00462D4A"/>
    <w:rsid w:val="00464480"/>
    <w:rsid w:val="00465215"/>
    <w:rsid w:val="00465D46"/>
    <w:rsid w:val="00473B0C"/>
    <w:rsid w:val="00477D3F"/>
    <w:rsid w:val="0048130E"/>
    <w:rsid w:val="00481D08"/>
    <w:rsid w:val="00483664"/>
    <w:rsid w:val="00484BE9"/>
    <w:rsid w:val="00486010"/>
    <w:rsid w:val="00495041"/>
    <w:rsid w:val="00495E99"/>
    <w:rsid w:val="004A5061"/>
    <w:rsid w:val="004B09EE"/>
    <w:rsid w:val="004B0CA4"/>
    <w:rsid w:val="004B18F2"/>
    <w:rsid w:val="004C044B"/>
    <w:rsid w:val="004D14D9"/>
    <w:rsid w:val="004D665D"/>
    <w:rsid w:val="004D76B3"/>
    <w:rsid w:val="004E23F6"/>
    <w:rsid w:val="004E480D"/>
    <w:rsid w:val="004E6B91"/>
    <w:rsid w:val="004E7C0A"/>
    <w:rsid w:val="004F2FB2"/>
    <w:rsid w:val="004F3DC4"/>
    <w:rsid w:val="004F4416"/>
    <w:rsid w:val="004F7ABD"/>
    <w:rsid w:val="005014CA"/>
    <w:rsid w:val="00503BBA"/>
    <w:rsid w:val="00505A03"/>
    <w:rsid w:val="00510215"/>
    <w:rsid w:val="00510B87"/>
    <w:rsid w:val="005116EB"/>
    <w:rsid w:val="00513E7A"/>
    <w:rsid w:val="00514E98"/>
    <w:rsid w:val="00516075"/>
    <w:rsid w:val="005200A4"/>
    <w:rsid w:val="0052181F"/>
    <w:rsid w:val="00523E06"/>
    <w:rsid w:val="005356B7"/>
    <w:rsid w:val="00542498"/>
    <w:rsid w:val="00553284"/>
    <w:rsid w:val="0055508F"/>
    <w:rsid w:val="0055664B"/>
    <w:rsid w:val="00556B51"/>
    <w:rsid w:val="0055703C"/>
    <w:rsid w:val="005576D7"/>
    <w:rsid w:val="005607C6"/>
    <w:rsid w:val="00564BDC"/>
    <w:rsid w:val="00566046"/>
    <w:rsid w:val="00573174"/>
    <w:rsid w:val="00580C8D"/>
    <w:rsid w:val="005900B6"/>
    <w:rsid w:val="00590A26"/>
    <w:rsid w:val="005923A9"/>
    <w:rsid w:val="005946D6"/>
    <w:rsid w:val="00595667"/>
    <w:rsid w:val="005A47E0"/>
    <w:rsid w:val="005C0DE8"/>
    <w:rsid w:val="005C1ACA"/>
    <w:rsid w:val="005C3177"/>
    <w:rsid w:val="005C5B34"/>
    <w:rsid w:val="005D1822"/>
    <w:rsid w:val="005D18C2"/>
    <w:rsid w:val="005D1AB7"/>
    <w:rsid w:val="005D3CA5"/>
    <w:rsid w:val="005E1695"/>
    <w:rsid w:val="005F1093"/>
    <w:rsid w:val="005F27AA"/>
    <w:rsid w:val="005F2899"/>
    <w:rsid w:val="005F4432"/>
    <w:rsid w:val="005F6744"/>
    <w:rsid w:val="006042D4"/>
    <w:rsid w:val="006046D3"/>
    <w:rsid w:val="00611B75"/>
    <w:rsid w:val="00614F4F"/>
    <w:rsid w:val="00615524"/>
    <w:rsid w:val="006235D4"/>
    <w:rsid w:val="00624583"/>
    <w:rsid w:val="00627FE8"/>
    <w:rsid w:val="00635C34"/>
    <w:rsid w:val="00642066"/>
    <w:rsid w:val="00644CD8"/>
    <w:rsid w:val="0064527A"/>
    <w:rsid w:val="00646258"/>
    <w:rsid w:val="00646AB7"/>
    <w:rsid w:val="00646B61"/>
    <w:rsid w:val="00647FA7"/>
    <w:rsid w:val="00653F4A"/>
    <w:rsid w:val="00660F78"/>
    <w:rsid w:val="00661757"/>
    <w:rsid w:val="0066196B"/>
    <w:rsid w:val="00663032"/>
    <w:rsid w:val="00672B6B"/>
    <w:rsid w:val="006739F9"/>
    <w:rsid w:val="00673CE9"/>
    <w:rsid w:val="0067435D"/>
    <w:rsid w:val="006757C1"/>
    <w:rsid w:val="00676F83"/>
    <w:rsid w:val="00680B64"/>
    <w:rsid w:val="00683E04"/>
    <w:rsid w:val="006849D6"/>
    <w:rsid w:val="00685EB4"/>
    <w:rsid w:val="006861A9"/>
    <w:rsid w:val="00687F8B"/>
    <w:rsid w:val="00690800"/>
    <w:rsid w:val="0069137F"/>
    <w:rsid w:val="006928B8"/>
    <w:rsid w:val="006A3030"/>
    <w:rsid w:val="006A38F6"/>
    <w:rsid w:val="006A3CCA"/>
    <w:rsid w:val="006A6821"/>
    <w:rsid w:val="006B00FA"/>
    <w:rsid w:val="006B246B"/>
    <w:rsid w:val="006B3049"/>
    <w:rsid w:val="006B3177"/>
    <w:rsid w:val="006B50AC"/>
    <w:rsid w:val="006B5702"/>
    <w:rsid w:val="006B5F59"/>
    <w:rsid w:val="006C27F5"/>
    <w:rsid w:val="006C2D48"/>
    <w:rsid w:val="006C379E"/>
    <w:rsid w:val="006C3BF5"/>
    <w:rsid w:val="006C6145"/>
    <w:rsid w:val="006C6F42"/>
    <w:rsid w:val="006D32D0"/>
    <w:rsid w:val="006D47D8"/>
    <w:rsid w:val="006E1783"/>
    <w:rsid w:val="006E2E05"/>
    <w:rsid w:val="006F1A2C"/>
    <w:rsid w:val="006F606A"/>
    <w:rsid w:val="006F6D78"/>
    <w:rsid w:val="006F7B37"/>
    <w:rsid w:val="0070549D"/>
    <w:rsid w:val="00711AD6"/>
    <w:rsid w:val="007146AA"/>
    <w:rsid w:val="007261C5"/>
    <w:rsid w:val="0072731B"/>
    <w:rsid w:val="007324D1"/>
    <w:rsid w:val="007340FB"/>
    <w:rsid w:val="0073599C"/>
    <w:rsid w:val="00736CE6"/>
    <w:rsid w:val="00744200"/>
    <w:rsid w:val="00750C76"/>
    <w:rsid w:val="00750E80"/>
    <w:rsid w:val="00750F02"/>
    <w:rsid w:val="00754A68"/>
    <w:rsid w:val="00755C68"/>
    <w:rsid w:val="0076079C"/>
    <w:rsid w:val="00766019"/>
    <w:rsid w:val="007719ED"/>
    <w:rsid w:val="00772F08"/>
    <w:rsid w:val="00776570"/>
    <w:rsid w:val="00780968"/>
    <w:rsid w:val="00782FBA"/>
    <w:rsid w:val="00783E79"/>
    <w:rsid w:val="007854C9"/>
    <w:rsid w:val="007939E3"/>
    <w:rsid w:val="007A6558"/>
    <w:rsid w:val="007A6923"/>
    <w:rsid w:val="007B3F94"/>
    <w:rsid w:val="007B6314"/>
    <w:rsid w:val="007C7283"/>
    <w:rsid w:val="007D48B7"/>
    <w:rsid w:val="007D74A0"/>
    <w:rsid w:val="007E31BD"/>
    <w:rsid w:val="007F09A5"/>
    <w:rsid w:val="007F5210"/>
    <w:rsid w:val="00800C10"/>
    <w:rsid w:val="00803E4D"/>
    <w:rsid w:val="00805FA9"/>
    <w:rsid w:val="00812783"/>
    <w:rsid w:val="00815823"/>
    <w:rsid w:val="00822749"/>
    <w:rsid w:val="00822D6D"/>
    <w:rsid w:val="00832D27"/>
    <w:rsid w:val="00833082"/>
    <w:rsid w:val="00833266"/>
    <w:rsid w:val="0083389C"/>
    <w:rsid w:val="0083507E"/>
    <w:rsid w:val="00837DAE"/>
    <w:rsid w:val="00857294"/>
    <w:rsid w:val="00860AC3"/>
    <w:rsid w:val="00872449"/>
    <w:rsid w:val="008766E9"/>
    <w:rsid w:val="00877805"/>
    <w:rsid w:val="008810F9"/>
    <w:rsid w:val="00882381"/>
    <w:rsid w:val="00884816"/>
    <w:rsid w:val="00885F53"/>
    <w:rsid w:val="00886D87"/>
    <w:rsid w:val="008A22A9"/>
    <w:rsid w:val="008B0D69"/>
    <w:rsid w:val="008B2A04"/>
    <w:rsid w:val="008B307A"/>
    <w:rsid w:val="008B46E4"/>
    <w:rsid w:val="008B77D0"/>
    <w:rsid w:val="008C1AF6"/>
    <w:rsid w:val="008D18C6"/>
    <w:rsid w:val="008D1F66"/>
    <w:rsid w:val="008D336B"/>
    <w:rsid w:val="008D7F66"/>
    <w:rsid w:val="008F2FB8"/>
    <w:rsid w:val="008F39CC"/>
    <w:rsid w:val="008F56C9"/>
    <w:rsid w:val="008F66F3"/>
    <w:rsid w:val="008F6C0E"/>
    <w:rsid w:val="0090049B"/>
    <w:rsid w:val="00900A72"/>
    <w:rsid w:val="0090115C"/>
    <w:rsid w:val="009011A5"/>
    <w:rsid w:val="00910654"/>
    <w:rsid w:val="0092140B"/>
    <w:rsid w:val="009223DC"/>
    <w:rsid w:val="00925FB0"/>
    <w:rsid w:val="00930E65"/>
    <w:rsid w:val="00933DDB"/>
    <w:rsid w:val="009411E5"/>
    <w:rsid w:val="0094320F"/>
    <w:rsid w:val="0094718D"/>
    <w:rsid w:val="0095172F"/>
    <w:rsid w:val="00956140"/>
    <w:rsid w:val="00960E95"/>
    <w:rsid w:val="00963893"/>
    <w:rsid w:val="00967BFC"/>
    <w:rsid w:val="00970756"/>
    <w:rsid w:val="009727F7"/>
    <w:rsid w:val="0097489F"/>
    <w:rsid w:val="009748B0"/>
    <w:rsid w:val="00980189"/>
    <w:rsid w:val="0098640B"/>
    <w:rsid w:val="00991C28"/>
    <w:rsid w:val="00996AF9"/>
    <w:rsid w:val="009A3B12"/>
    <w:rsid w:val="009A70A8"/>
    <w:rsid w:val="009B0C83"/>
    <w:rsid w:val="009B276F"/>
    <w:rsid w:val="009B2C6A"/>
    <w:rsid w:val="009B7F36"/>
    <w:rsid w:val="009C35F6"/>
    <w:rsid w:val="009D29BE"/>
    <w:rsid w:val="009D360F"/>
    <w:rsid w:val="009E072A"/>
    <w:rsid w:val="009E1640"/>
    <w:rsid w:val="009E7609"/>
    <w:rsid w:val="009F2624"/>
    <w:rsid w:val="009F53B1"/>
    <w:rsid w:val="009F7C4B"/>
    <w:rsid w:val="00A00BE6"/>
    <w:rsid w:val="00A04C95"/>
    <w:rsid w:val="00A06A68"/>
    <w:rsid w:val="00A0706A"/>
    <w:rsid w:val="00A152DC"/>
    <w:rsid w:val="00A1635E"/>
    <w:rsid w:val="00A22237"/>
    <w:rsid w:val="00A3073D"/>
    <w:rsid w:val="00A33C29"/>
    <w:rsid w:val="00A34CA0"/>
    <w:rsid w:val="00A36ABA"/>
    <w:rsid w:val="00A4095B"/>
    <w:rsid w:val="00A433E4"/>
    <w:rsid w:val="00A436C1"/>
    <w:rsid w:val="00A45BD4"/>
    <w:rsid w:val="00A502CE"/>
    <w:rsid w:val="00A509EC"/>
    <w:rsid w:val="00A627D1"/>
    <w:rsid w:val="00A62C98"/>
    <w:rsid w:val="00A63038"/>
    <w:rsid w:val="00A63821"/>
    <w:rsid w:val="00A65CB1"/>
    <w:rsid w:val="00A66F3D"/>
    <w:rsid w:val="00A671CF"/>
    <w:rsid w:val="00A704AD"/>
    <w:rsid w:val="00A71EE7"/>
    <w:rsid w:val="00A73CA8"/>
    <w:rsid w:val="00A73E28"/>
    <w:rsid w:val="00A7485C"/>
    <w:rsid w:val="00A9481C"/>
    <w:rsid w:val="00A95460"/>
    <w:rsid w:val="00AA0B73"/>
    <w:rsid w:val="00AA5788"/>
    <w:rsid w:val="00AA6BBB"/>
    <w:rsid w:val="00AB4DFC"/>
    <w:rsid w:val="00AC6E93"/>
    <w:rsid w:val="00AD71BF"/>
    <w:rsid w:val="00AE07F0"/>
    <w:rsid w:val="00AE494D"/>
    <w:rsid w:val="00AF5F2F"/>
    <w:rsid w:val="00B00023"/>
    <w:rsid w:val="00B02DE6"/>
    <w:rsid w:val="00B05D38"/>
    <w:rsid w:val="00B0687B"/>
    <w:rsid w:val="00B11289"/>
    <w:rsid w:val="00B20517"/>
    <w:rsid w:val="00B20F0B"/>
    <w:rsid w:val="00B21760"/>
    <w:rsid w:val="00B22BEE"/>
    <w:rsid w:val="00B350C5"/>
    <w:rsid w:val="00B353AA"/>
    <w:rsid w:val="00B37F36"/>
    <w:rsid w:val="00B44147"/>
    <w:rsid w:val="00B44951"/>
    <w:rsid w:val="00B500CF"/>
    <w:rsid w:val="00B501AE"/>
    <w:rsid w:val="00B526E7"/>
    <w:rsid w:val="00B66452"/>
    <w:rsid w:val="00B732C4"/>
    <w:rsid w:val="00B823B2"/>
    <w:rsid w:val="00B83974"/>
    <w:rsid w:val="00B84C4E"/>
    <w:rsid w:val="00B93725"/>
    <w:rsid w:val="00B956B0"/>
    <w:rsid w:val="00BA0636"/>
    <w:rsid w:val="00BA2898"/>
    <w:rsid w:val="00BA4560"/>
    <w:rsid w:val="00BB44A3"/>
    <w:rsid w:val="00BC0BA5"/>
    <w:rsid w:val="00BC57D7"/>
    <w:rsid w:val="00BC6A47"/>
    <w:rsid w:val="00BD39C9"/>
    <w:rsid w:val="00BE23D3"/>
    <w:rsid w:val="00BE53DB"/>
    <w:rsid w:val="00BF0104"/>
    <w:rsid w:val="00BF1ED1"/>
    <w:rsid w:val="00BF39E3"/>
    <w:rsid w:val="00BF484A"/>
    <w:rsid w:val="00BF4CDE"/>
    <w:rsid w:val="00C06A7F"/>
    <w:rsid w:val="00C070C4"/>
    <w:rsid w:val="00C12DC9"/>
    <w:rsid w:val="00C24C9E"/>
    <w:rsid w:val="00C25C28"/>
    <w:rsid w:val="00C26173"/>
    <w:rsid w:val="00C26678"/>
    <w:rsid w:val="00C2781A"/>
    <w:rsid w:val="00C34222"/>
    <w:rsid w:val="00C36642"/>
    <w:rsid w:val="00C40395"/>
    <w:rsid w:val="00C47012"/>
    <w:rsid w:val="00C501B8"/>
    <w:rsid w:val="00C526DE"/>
    <w:rsid w:val="00C555EF"/>
    <w:rsid w:val="00C5767C"/>
    <w:rsid w:val="00C648A1"/>
    <w:rsid w:val="00C666FC"/>
    <w:rsid w:val="00C6733C"/>
    <w:rsid w:val="00C74AB0"/>
    <w:rsid w:val="00C80D15"/>
    <w:rsid w:val="00C80F6C"/>
    <w:rsid w:val="00C821F6"/>
    <w:rsid w:val="00C83656"/>
    <w:rsid w:val="00C977C7"/>
    <w:rsid w:val="00C97B85"/>
    <w:rsid w:val="00CA0126"/>
    <w:rsid w:val="00CA0B0B"/>
    <w:rsid w:val="00CA1C4C"/>
    <w:rsid w:val="00CA3AB8"/>
    <w:rsid w:val="00CA6BF8"/>
    <w:rsid w:val="00CA71CF"/>
    <w:rsid w:val="00CB2FB2"/>
    <w:rsid w:val="00CB4317"/>
    <w:rsid w:val="00CB5B3D"/>
    <w:rsid w:val="00CB70F3"/>
    <w:rsid w:val="00CB7713"/>
    <w:rsid w:val="00CB7A9F"/>
    <w:rsid w:val="00CC41FA"/>
    <w:rsid w:val="00CE5816"/>
    <w:rsid w:val="00CE5CD1"/>
    <w:rsid w:val="00CE64FB"/>
    <w:rsid w:val="00CF05C5"/>
    <w:rsid w:val="00CF18EF"/>
    <w:rsid w:val="00CF4574"/>
    <w:rsid w:val="00CF4962"/>
    <w:rsid w:val="00CF5032"/>
    <w:rsid w:val="00D0208A"/>
    <w:rsid w:val="00D031C1"/>
    <w:rsid w:val="00D11256"/>
    <w:rsid w:val="00D13D17"/>
    <w:rsid w:val="00D14028"/>
    <w:rsid w:val="00D15EA7"/>
    <w:rsid w:val="00D16783"/>
    <w:rsid w:val="00D22FC0"/>
    <w:rsid w:val="00D24280"/>
    <w:rsid w:val="00D317B9"/>
    <w:rsid w:val="00D32608"/>
    <w:rsid w:val="00D366ED"/>
    <w:rsid w:val="00D371C8"/>
    <w:rsid w:val="00D46FDF"/>
    <w:rsid w:val="00D513B0"/>
    <w:rsid w:val="00D52015"/>
    <w:rsid w:val="00D56C75"/>
    <w:rsid w:val="00D62A27"/>
    <w:rsid w:val="00D63725"/>
    <w:rsid w:val="00D64388"/>
    <w:rsid w:val="00D65E7E"/>
    <w:rsid w:val="00D83AF6"/>
    <w:rsid w:val="00D8532E"/>
    <w:rsid w:val="00D91CAD"/>
    <w:rsid w:val="00D925AB"/>
    <w:rsid w:val="00DA3113"/>
    <w:rsid w:val="00DA40D5"/>
    <w:rsid w:val="00DB0B14"/>
    <w:rsid w:val="00DC0233"/>
    <w:rsid w:val="00DC13EB"/>
    <w:rsid w:val="00DD1F16"/>
    <w:rsid w:val="00DE109A"/>
    <w:rsid w:val="00DE4306"/>
    <w:rsid w:val="00DF1362"/>
    <w:rsid w:val="00DF7ADB"/>
    <w:rsid w:val="00E01A63"/>
    <w:rsid w:val="00E01F24"/>
    <w:rsid w:val="00E05407"/>
    <w:rsid w:val="00E15D5F"/>
    <w:rsid w:val="00E23866"/>
    <w:rsid w:val="00E302EC"/>
    <w:rsid w:val="00E30DA6"/>
    <w:rsid w:val="00E317EA"/>
    <w:rsid w:val="00E36C34"/>
    <w:rsid w:val="00E410F8"/>
    <w:rsid w:val="00E44759"/>
    <w:rsid w:val="00E511B5"/>
    <w:rsid w:val="00E52218"/>
    <w:rsid w:val="00E5720C"/>
    <w:rsid w:val="00E63AE8"/>
    <w:rsid w:val="00E64189"/>
    <w:rsid w:val="00E64D6C"/>
    <w:rsid w:val="00E734E2"/>
    <w:rsid w:val="00E8634E"/>
    <w:rsid w:val="00E87CE4"/>
    <w:rsid w:val="00E922AE"/>
    <w:rsid w:val="00E961D7"/>
    <w:rsid w:val="00EA411B"/>
    <w:rsid w:val="00EA43D7"/>
    <w:rsid w:val="00EA50E0"/>
    <w:rsid w:val="00EA7541"/>
    <w:rsid w:val="00EB1C80"/>
    <w:rsid w:val="00EB5A03"/>
    <w:rsid w:val="00EC01CC"/>
    <w:rsid w:val="00EC3317"/>
    <w:rsid w:val="00EC34F7"/>
    <w:rsid w:val="00ED0CF3"/>
    <w:rsid w:val="00ED370D"/>
    <w:rsid w:val="00ED5F12"/>
    <w:rsid w:val="00EE2193"/>
    <w:rsid w:val="00EE5D4A"/>
    <w:rsid w:val="00EF1772"/>
    <w:rsid w:val="00F00305"/>
    <w:rsid w:val="00F01C6C"/>
    <w:rsid w:val="00F111CA"/>
    <w:rsid w:val="00F15A32"/>
    <w:rsid w:val="00F20A49"/>
    <w:rsid w:val="00F22121"/>
    <w:rsid w:val="00F23284"/>
    <w:rsid w:val="00F23A59"/>
    <w:rsid w:val="00F257DC"/>
    <w:rsid w:val="00F42920"/>
    <w:rsid w:val="00F46C79"/>
    <w:rsid w:val="00F554B1"/>
    <w:rsid w:val="00F56FAA"/>
    <w:rsid w:val="00F574ED"/>
    <w:rsid w:val="00F6192D"/>
    <w:rsid w:val="00F63C3B"/>
    <w:rsid w:val="00F85D49"/>
    <w:rsid w:val="00F877EE"/>
    <w:rsid w:val="00F948D0"/>
    <w:rsid w:val="00FA1966"/>
    <w:rsid w:val="00FA5365"/>
    <w:rsid w:val="00FA586F"/>
    <w:rsid w:val="00FB5686"/>
    <w:rsid w:val="00FB588F"/>
    <w:rsid w:val="00FB5A3A"/>
    <w:rsid w:val="00FC0AE1"/>
    <w:rsid w:val="00FC3841"/>
    <w:rsid w:val="00FC6E66"/>
    <w:rsid w:val="00FC6F18"/>
    <w:rsid w:val="00FC751A"/>
    <w:rsid w:val="00FD1C80"/>
    <w:rsid w:val="00FD4CB9"/>
    <w:rsid w:val="00FD526D"/>
    <w:rsid w:val="00FD547B"/>
    <w:rsid w:val="00FE4652"/>
    <w:rsid w:val="00FF58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8967DE-E414-4F18-982C-71318BD5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145"/>
    <w:pPr>
      <w:ind w:left="720"/>
      <w:contextualSpacing/>
    </w:pPr>
  </w:style>
  <w:style w:type="character" w:styleId="Hipervnculo">
    <w:name w:val="Hyperlink"/>
    <w:basedOn w:val="Fuentedeprrafopredeter"/>
    <w:uiPriority w:val="99"/>
    <w:unhideWhenUsed/>
    <w:rsid w:val="00E961D7"/>
    <w:rPr>
      <w:color w:val="0000FF" w:themeColor="hyperlink"/>
      <w:u w:val="single"/>
    </w:rPr>
  </w:style>
  <w:style w:type="paragraph" w:styleId="Textonotapie">
    <w:name w:val="footnote text"/>
    <w:basedOn w:val="Normal"/>
    <w:link w:val="TextonotapieCar"/>
    <w:uiPriority w:val="99"/>
    <w:semiHidden/>
    <w:unhideWhenUsed/>
    <w:rsid w:val="009B0C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0C83"/>
    <w:rPr>
      <w:sz w:val="20"/>
      <w:szCs w:val="20"/>
    </w:rPr>
  </w:style>
  <w:style w:type="character" w:styleId="Refdenotaalpie">
    <w:name w:val="footnote reference"/>
    <w:basedOn w:val="Fuentedeprrafopredeter"/>
    <w:uiPriority w:val="99"/>
    <w:semiHidden/>
    <w:unhideWhenUsed/>
    <w:rsid w:val="009B0C83"/>
    <w:rPr>
      <w:vertAlign w:val="superscript"/>
    </w:rPr>
  </w:style>
  <w:style w:type="paragraph" w:styleId="Textodeglobo">
    <w:name w:val="Balloon Text"/>
    <w:basedOn w:val="Normal"/>
    <w:link w:val="TextodegloboCar"/>
    <w:uiPriority w:val="99"/>
    <w:semiHidden/>
    <w:unhideWhenUsed/>
    <w:rsid w:val="00400B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B08"/>
    <w:rPr>
      <w:rFonts w:ascii="Segoe UI" w:hAnsi="Segoe UI" w:cs="Segoe UI"/>
      <w:sz w:val="18"/>
      <w:szCs w:val="18"/>
    </w:rPr>
  </w:style>
  <w:style w:type="paragraph" w:styleId="Encabezado">
    <w:name w:val="header"/>
    <w:basedOn w:val="Normal"/>
    <w:link w:val="EncabezadoCar"/>
    <w:uiPriority w:val="99"/>
    <w:unhideWhenUsed/>
    <w:rsid w:val="00ED3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70D"/>
  </w:style>
  <w:style w:type="paragraph" w:styleId="Piedepgina">
    <w:name w:val="footer"/>
    <w:basedOn w:val="Normal"/>
    <w:link w:val="PiedepginaCar"/>
    <w:uiPriority w:val="99"/>
    <w:unhideWhenUsed/>
    <w:rsid w:val="00ED37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70D"/>
  </w:style>
  <w:style w:type="character" w:styleId="Refdecomentario">
    <w:name w:val="annotation reference"/>
    <w:basedOn w:val="Fuentedeprrafopredeter"/>
    <w:uiPriority w:val="99"/>
    <w:semiHidden/>
    <w:unhideWhenUsed/>
    <w:rsid w:val="00CA1C4C"/>
    <w:rPr>
      <w:sz w:val="16"/>
      <w:szCs w:val="16"/>
    </w:rPr>
  </w:style>
  <w:style w:type="paragraph" w:styleId="Textocomentario">
    <w:name w:val="annotation text"/>
    <w:basedOn w:val="Normal"/>
    <w:link w:val="TextocomentarioCar"/>
    <w:uiPriority w:val="99"/>
    <w:semiHidden/>
    <w:unhideWhenUsed/>
    <w:rsid w:val="00CA1C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1C4C"/>
    <w:rPr>
      <w:sz w:val="20"/>
      <w:szCs w:val="20"/>
    </w:rPr>
  </w:style>
  <w:style w:type="paragraph" w:styleId="Asuntodelcomentario">
    <w:name w:val="annotation subject"/>
    <w:basedOn w:val="Textocomentario"/>
    <w:next w:val="Textocomentario"/>
    <w:link w:val="AsuntodelcomentarioCar"/>
    <w:uiPriority w:val="99"/>
    <w:semiHidden/>
    <w:unhideWhenUsed/>
    <w:rsid w:val="00CA1C4C"/>
    <w:rPr>
      <w:b/>
      <w:bCs/>
    </w:rPr>
  </w:style>
  <w:style w:type="character" w:customStyle="1" w:styleId="AsuntodelcomentarioCar">
    <w:name w:val="Asunto del comentario Car"/>
    <w:basedOn w:val="TextocomentarioCar"/>
    <w:link w:val="Asuntodelcomentario"/>
    <w:uiPriority w:val="99"/>
    <w:semiHidden/>
    <w:rsid w:val="00CA1C4C"/>
    <w:rPr>
      <w:b/>
      <w:bCs/>
      <w:sz w:val="20"/>
      <w:szCs w:val="20"/>
    </w:rPr>
  </w:style>
  <w:style w:type="paragraph" w:styleId="Revisin">
    <w:name w:val="Revision"/>
    <w:hidden/>
    <w:uiPriority w:val="99"/>
    <w:semiHidden/>
    <w:rsid w:val="00A63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3006">
      <w:bodyDiv w:val="1"/>
      <w:marLeft w:val="0"/>
      <w:marRight w:val="0"/>
      <w:marTop w:val="0"/>
      <w:marBottom w:val="0"/>
      <w:divBdr>
        <w:top w:val="none" w:sz="0" w:space="0" w:color="auto"/>
        <w:left w:val="none" w:sz="0" w:space="0" w:color="auto"/>
        <w:bottom w:val="none" w:sz="0" w:space="0" w:color="auto"/>
        <w:right w:val="none" w:sz="0" w:space="0" w:color="auto"/>
      </w:divBdr>
    </w:div>
    <w:div w:id="84692568">
      <w:bodyDiv w:val="1"/>
      <w:marLeft w:val="0"/>
      <w:marRight w:val="0"/>
      <w:marTop w:val="0"/>
      <w:marBottom w:val="0"/>
      <w:divBdr>
        <w:top w:val="none" w:sz="0" w:space="0" w:color="auto"/>
        <w:left w:val="none" w:sz="0" w:space="0" w:color="auto"/>
        <w:bottom w:val="none" w:sz="0" w:space="0" w:color="auto"/>
        <w:right w:val="none" w:sz="0" w:space="0" w:color="auto"/>
      </w:divBdr>
    </w:div>
    <w:div w:id="107242093">
      <w:bodyDiv w:val="1"/>
      <w:marLeft w:val="0"/>
      <w:marRight w:val="0"/>
      <w:marTop w:val="0"/>
      <w:marBottom w:val="0"/>
      <w:divBdr>
        <w:top w:val="none" w:sz="0" w:space="0" w:color="auto"/>
        <w:left w:val="none" w:sz="0" w:space="0" w:color="auto"/>
        <w:bottom w:val="none" w:sz="0" w:space="0" w:color="auto"/>
        <w:right w:val="none" w:sz="0" w:space="0" w:color="auto"/>
      </w:divBdr>
    </w:div>
    <w:div w:id="122844454">
      <w:bodyDiv w:val="1"/>
      <w:marLeft w:val="0"/>
      <w:marRight w:val="0"/>
      <w:marTop w:val="0"/>
      <w:marBottom w:val="0"/>
      <w:divBdr>
        <w:top w:val="none" w:sz="0" w:space="0" w:color="auto"/>
        <w:left w:val="none" w:sz="0" w:space="0" w:color="auto"/>
        <w:bottom w:val="none" w:sz="0" w:space="0" w:color="auto"/>
        <w:right w:val="none" w:sz="0" w:space="0" w:color="auto"/>
      </w:divBdr>
    </w:div>
    <w:div w:id="147208406">
      <w:bodyDiv w:val="1"/>
      <w:marLeft w:val="0"/>
      <w:marRight w:val="0"/>
      <w:marTop w:val="0"/>
      <w:marBottom w:val="0"/>
      <w:divBdr>
        <w:top w:val="none" w:sz="0" w:space="0" w:color="auto"/>
        <w:left w:val="none" w:sz="0" w:space="0" w:color="auto"/>
        <w:bottom w:val="none" w:sz="0" w:space="0" w:color="auto"/>
        <w:right w:val="none" w:sz="0" w:space="0" w:color="auto"/>
      </w:divBdr>
    </w:div>
    <w:div w:id="181674193">
      <w:bodyDiv w:val="1"/>
      <w:marLeft w:val="0"/>
      <w:marRight w:val="0"/>
      <w:marTop w:val="0"/>
      <w:marBottom w:val="0"/>
      <w:divBdr>
        <w:top w:val="none" w:sz="0" w:space="0" w:color="auto"/>
        <w:left w:val="none" w:sz="0" w:space="0" w:color="auto"/>
        <w:bottom w:val="none" w:sz="0" w:space="0" w:color="auto"/>
        <w:right w:val="none" w:sz="0" w:space="0" w:color="auto"/>
      </w:divBdr>
    </w:div>
    <w:div w:id="213660174">
      <w:bodyDiv w:val="1"/>
      <w:marLeft w:val="0"/>
      <w:marRight w:val="0"/>
      <w:marTop w:val="0"/>
      <w:marBottom w:val="0"/>
      <w:divBdr>
        <w:top w:val="none" w:sz="0" w:space="0" w:color="auto"/>
        <w:left w:val="none" w:sz="0" w:space="0" w:color="auto"/>
        <w:bottom w:val="none" w:sz="0" w:space="0" w:color="auto"/>
        <w:right w:val="none" w:sz="0" w:space="0" w:color="auto"/>
      </w:divBdr>
    </w:div>
    <w:div w:id="229000881">
      <w:bodyDiv w:val="1"/>
      <w:marLeft w:val="0"/>
      <w:marRight w:val="0"/>
      <w:marTop w:val="0"/>
      <w:marBottom w:val="0"/>
      <w:divBdr>
        <w:top w:val="none" w:sz="0" w:space="0" w:color="auto"/>
        <w:left w:val="none" w:sz="0" w:space="0" w:color="auto"/>
        <w:bottom w:val="none" w:sz="0" w:space="0" w:color="auto"/>
        <w:right w:val="none" w:sz="0" w:space="0" w:color="auto"/>
      </w:divBdr>
    </w:div>
    <w:div w:id="250088273">
      <w:bodyDiv w:val="1"/>
      <w:marLeft w:val="0"/>
      <w:marRight w:val="0"/>
      <w:marTop w:val="0"/>
      <w:marBottom w:val="0"/>
      <w:divBdr>
        <w:top w:val="none" w:sz="0" w:space="0" w:color="auto"/>
        <w:left w:val="none" w:sz="0" w:space="0" w:color="auto"/>
        <w:bottom w:val="none" w:sz="0" w:space="0" w:color="auto"/>
        <w:right w:val="none" w:sz="0" w:space="0" w:color="auto"/>
      </w:divBdr>
    </w:div>
    <w:div w:id="291208542">
      <w:bodyDiv w:val="1"/>
      <w:marLeft w:val="0"/>
      <w:marRight w:val="0"/>
      <w:marTop w:val="0"/>
      <w:marBottom w:val="0"/>
      <w:divBdr>
        <w:top w:val="none" w:sz="0" w:space="0" w:color="auto"/>
        <w:left w:val="none" w:sz="0" w:space="0" w:color="auto"/>
        <w:bottom w:val="none" w:sz="0" w:space="0" w:color="auto"/>
        <w:right w:val="none" w:sz="0" w:space="0" w:color="auto"/>
      </w:divBdr>
    </w:div>
    <w:div w:id="306781055">
      <w:bodyDiv w:val="1"/>
      <w:marLeft w:val="0"/>
      <w:marRight w:val="0"/>
      <w:marTop w:val="0"/>
      <w:marBottom w:val="0"/>
      <w:divBdr>
        <w:top w:val="none" w:sz="0" w:space="0" w:color="auto"/>
        <w:left w:val="none" w:sz="0" w:space="0" w:color="auto"/>
        <w:bottom w:val="none" w:sz="0" w:space="0" w:color="auto"/>
        <w:right w:val="none" w:sz="0" w:space="0" w:color="auto"/>
      </w:divBdr>
    </w:div>
    <w:div w:id="315426863">
      <w:bodyDiv w:val="1"/>
      <w:marLeft w:val="0"/>
      <w:marRight w:val="0"/>
      <w:marTop w:val="0"/>
      <w:marBottom w:val="0"/>
      <w:divBdr>
        <w:top w:val="none" w:sz="0" w:space="0" w:color="auto"/>
        <w:left w:val="none" w:sz="0" w:space="0" w:color="auto"/>
        <w:bottom w:val="none" w:sz="0" w:space="0" w:color="auto"/>
        <w:right w:val="none" w:sz="0" w:space="0" w:color="auto"/>
      </w:divBdr>
    </w:div>
    <w:div w:id="348261008">
      <w:bodyDiv w:val="1"/>
      <w:marLeft w:val="0"/>
      <w:marRight w:val="0"/>
      <w:marTop w:val="0"/>
      <w:marBottom w:val="0"/>
      <w:divBdr>
        <w:top w:val="none" w:sz="0" w:space="0" w:color="auto"/>
        <w:left w:val="none" w:sz="0" w:space="0" w:color="auto"/>
        <w:bottom w:val="none" w:sz="0" w:space="0" w:color="auto"/>
        <w:right w:val="none" w:sz="0" w:space="0" w:color="auto"/>
      </w:divBdr>
    </w:div>
    <w:div w:id="355158089">
      <w:bodyDiv w:val="1"/>
      <w:marLeft w:val="0"/>
      <w:marRight w:val="0"/>
      <w:marTop w:val="0"/>
      <w:marBottom w:val="0"/>
      <w:divBdr>
        <w:top w:val="none" w:sz="0" w:space="0" w:color="auto"/>
        <w:left w:val="none" w:sz="0" w:space="0" w:color="auto"/>
        <w:bottom w:val="none" w:sz="0" w:space="0" w:color="auto"/>
        <w:right w:val="none" w:sz="0" w:space="0" w:color="auto"/>
      </w:divBdr>
    </w:div>
    <w:div w:id="391269624">
      <w:bodyDiv w:val="1"/>
      <w:marLeft w:val="0"/>
      <w:marRight w:val="0"/>
      <w:marTop w:val="0"/>
      <w:marBottom w:val="0"/>
      <w:divBdr>
        <w:top w:val="none" w:sz="0" w:space="0" w:color="auto"/>
        <w:left w:val="none" w:sz="0" w:space="0" w:color="auto"/>
        <w:bottom w:val="none" w:sz="0" w:space="0" w:color="auto"/>
        <w:right w:val="none" w:sz="0" w:space="0" w:color="auto"/>
      </w:divBdr>
    </w:div>
    <w:div w:id="434639196">
      <w:bodyDiv w:val="1"/>
      <w:marLeft w:val="0"/>
      <w:marRight w:val="0"/>
      <w:marTop w:val="0"/>
      <w:marBottom w:val="0"/>
      <w:divBdr>
        <w:top w:val="none" w:sz="0" w:space="0" w:color="auto"/>
        <w:left w:val="none" w:sz="0" w:space="0" w:color="auto"/>
        <w:bottom w:val="none" w:sz="0" w:space="0" w:color="auto"/>
        <w:right w:val="none" w:sz="0" w:space="0" w:color="auto"/>
      </w:divBdr>
    </w:div>
    <w:div w:id="454251704">
      <w:bodyDiv w:val="1"/>
      <w:marLeft w:val="0"/>
      <w:marRight w:val="0"/>
      <w:marTop w:val="0"/>
      <w:marBottom w:val="0"/>
      <w:divBdr>
        <w:top w:val="none" w:sz="0" w:space="0" w:color="auto"/>
        <w:left w:val="none" w:sz="0" w:space="0" w:color="auto"/>
        <w:bottom w:val="none" w:sz="0" w:space="0" w:color="auto"/>
        <w:right w:val="none" w:sz="0" w:space="0" w:color="auto"/>
      </w:divBdr>
    </w:div>
    <w:div w:id="456800485">
      <w:bodyDiv w:val="1"/>
      <w:marLeft w:val="0"/>
      <w:marRight w:val="0"/>
      <w:marTop w:val="0"/>
      <w:marBottom w:val="0"/>
      <w:divBdr>
        <w:top w:val="none" w:sz="0" w:space="0" w:color="auto"/>
        <w:left w:val="none" w:sz="0" w:space="0" w:color="auto"/>
        <w:bottom w:val="none" w:sz="0" w:space="0" w:color="auto"/>
        <w:right w:val="none" w:sz="0" w:space="0" w:color="auto"/>
      </w:divBdr>
    </w:div>
    <w:div w:id="476144037">
      <w:bodyDiv w:val="1"/>
      <w:marLeft w:val="0"/>
      <w:marRight w:val="0"/>
      <w:marTop w:val="0"/>
      <w:marBottom w:val="0"/>
      <w:divBdr>
        <w:top w:val="none" w:sz="0" w:space="0" w:color="auto"/>
        <w:left w:val="none" w:sz="0" w:space="0" w:color="auto"/>
        <w:bottom w:val="none" w:sz="0" w:space="0" w:color="auto"/>
        <w:right w:val="none" w:sz="0" w:space="0" w:color="auto"/>
      </w:divBdr>
    </w:div>
    <w:div w:id="525409504">
      <w:bodyDiv w:val="1"/>
      <w:marLeft w:val="0"/>
      <w:marRight w:val="0"/>
      <w:marTop w:val="0"/>
      <w:marBottom w:val="0"/>
      <w:divBdr>
        <w:top w:val="none" w:sz="0" w:space="0" w:color="auto"/>
        <w:left w:val="none" w:sz="0" w:space="0" w:color="auto"/>
        <w:bottom w:val="none" w:sz="0" w:space="0" w:color="auto"/>
        <w:right w:val="none" w:sz="0" w:space="0" w:color="auto"/>
      </w:divBdr>
    </w:div>
    <w:div w:id="544877649">
      <w:bodyDiv w:val="1"/>
      <w:marLeft w:val="0"/>
      <w:marRight w:val="0"/>
      <w:marTop w:val="0"/>
      <w:marBottom w:val="0"/>
      <w:divBdr>
        <w:top w:val="none" w:sz="0" w:space="0" w:color="auto"/>
        <w:left w:val="none" w:sz="0" w:space="0" w:color="auto"/>
        <w:bottom w:val="none" w:sz="0" w:space="0" w:color="auto"/>
        <w:right w:val="none" w:sz="0" w:space="0" w:color="auto"/>
      </w:divBdr>
    </w:div>
    <w:div w:id="558635081">
      <w:bodyDiv w:val="1"/>
      <w:marLeft w:val="0"/>
      <w:marRight w:val="0"/>
      <w:marTop w:val="0"/>
      <w:marBottom w:val="0"/>
      <w:divBdr>
        <w:top w:val="none" w:sz="0" w:space="0" w:color="auto"/>
        <w:left w:val="none" w:sz="0" w:space="0" w:color="auto"/>
        <w:bottom w:val="none" w:sz="0" w:space="0" w:color="auto"/>
        <w:right w:val="none" w:sz="0" w:space="0" w:color="auto"/>
      </w:divBdr>
    </w:div>
    <w:div w:id="584268297">
      <w:bodyDiv w:val="1"/>
      <w:marLeft w:val="0"/>
      <w:marRight w:val="0"/>
      <w:marTop w:val="0"/>
      <w:marBottom w:val="0"/>
      <w:divBdr>
        <w:top w:val="none" w:sz="0" w:space="0" w:color="auto"/>
        <w:left w:val="none" w:sz="0" w:space="0" w:color="auto"/>
        <w:bottom w:val="none" w:sz="0" w:space="0" w:color="auto"/>
        <w:right w:val="none" w:sz="0" w:space="0" w:color="auto"/>
      </w:divBdr>
    </w:div>
    <w:div w:id="593513469">
      <w:bodyDiv w:val="1"/>
      <w:marLeft w:val="0"/>
      <w:marRight w:val="0"/>
      <w:marTop w:val="0"/>
      <w:marBottom w:val="0"/>
      <w:divBdr>
        <w:top w:val="none" w:sz="0" w:space="0" w:color="auto"/>
        <w:left w:val="none" w:sz="0" w:space="0" w:color="auto"/>
        <w:bottom w:val="none" w:sz="0" w:space="0" w:color="auto"/>
        <w:right w:val="none" w:sz="0" w:space="0" w:color="auto"/>
      </w:divBdr>
    </w:div>
    <w:div w:id="593786012">
      <w:bodyDiv w:val="1"/>
      <w:marLeft w:val="0"/>
      <w:marRight w:val="0"/>
      <w:marTop w:val="0"/>
      <w:marBottom w:val="0"/>
      <w:divBdr>
        <w:top w:val="none" w:sz="0" w:space="0" w:color="auto"/>
        <w:left w:val="none" w:sz="0" w:space="0" w:color="auto"/>
        <w:bottom w:val="none" w:sz="0" w:space="0" w:color="auto"/>
        <w:right w:val="none" w:sz="0" w:space="0" w:color="auto"/>
      </w:divBdr>
    </w:div>
    <w:div w:id="595793681">
      <w:bodyDiv w:val="1"/>
      <w:marLeft w:val="0"/>
      <w:marRight w:val="0"/>
      <w:marTop w:val="0"/>
      <w:marBottom w:val="0"/>
      <w:divBdr>
        <w:top w:val="none" w:sz="0" w:space="0" w:color="auto"/>
        <w:left w:val="none" w:sz="0" w:space="0" w:color="auto"/>
        <w:bottom w:val="none" w:sz="0" w:space="0" w:color="auto"/>
        <w:right w:val="none" w:sz="0" w:space="0" w:color="auto"/>
      </w:divBdr>
    </w:div>
    <w:div w:id="597443653">
      <w:bodyDiv w:val="1"/>
      <w:marLeft w:val="0"/>
      <w:marRight w:val="0"/>
      <w:marTop w:val="0"/>
      <w:marBottom w:val="0"/>
      <w:divBdr>
        <w:top w:val="none" w:sz="0" w:space="0" w:color="auto"/>
        <w:left w:val="none" w:sz="0" w:space="0" w:color="auto"/>
        <w:bottom w:val="none" w:sz="0" w:space="0" w:color="auto"/>
        <w:right w:val="none" w:sz="0" w:space="0" w:color="auto"/>
      </w:divBdr>
    </w:div>
    <w:div w:id="611518774">
      <w:bodyDiv w:val="1"/>
      <w:marLeft w:val="0"/>
      <w:marRight w:val="0"/>
      <w:marTop w:val="0"/>
      <w:marBottom w:val="0"/>
      <w:divBdr>
        <w:top w:val="none" w:sz="0" w:space="0" w:color="auto"/>
        <w:left w:val="none" w:sz="0" w:space="0" w:color="auto"/>
        <w:bottom w:val="none" w:sz="0" w:space="0" w:color="auto"/>
        <w:right w:val="none" w:sz="0" w:space="0" w:color="auto"/>
      </w:divBdr>
    </w:div>
    <w:div w:id="632636339">
      <w:bodyDiv w:val="1"/>
      <w:marLeft w:val="0"/>
      <w:marRight w:val="0"/>
      <w:marTop w:val="0"/>
      <w:marBottom w:val="0"/>
      <w:divBdr>
        <w:top w:val="none" w:sz="0" w:space="0" w:color="auto"/>
        <w:left w:val="none" w:sz="0" w:space="0" w:color="auto"/>
        <w:bottom w:val="none" w:sz="0" w:space="0" w:color="auto"/>
        <w:right w:val="none" w:sz="0" w:space="0" w:color="auto"/>
      </w:divBdr>
    </w:div>
    <w:div w:id="662397857">
      <w:bodyDiv w:val="1"/>
      <w:marLeft w:val="0"/>
      <w:marRight w:val="0"/>
      <w:marTop w:val="0"/>
      <w:marBottom w:val="0"/>
      <w:divBdr>
        <w:top w:val="none" w:sz="0" w:space="0" w:color="auto"/>
        <w:left w:val="none" w:sz="0" w:space="0" w:color="auto"/>
        <w:bottom w:val="none" w:sz="0" w:space="0" w:color="auto"/>
        <w:right w:val="none" w:sz="0" w:space="0" w:color="auto"/>
      </w:divBdr>
    </w:div>
    <w:div w:id="676806921">
      <w:bodyDiv w:val="1"/>
      <w:marLeft w:val="0"/>
      <w:marRight w:val="0"/>
      <w:marTop w:val="0"/>
      <w:marBottom w:val="0"/>
      <w:divBdr>
        <w:top w:val="none" w:sz="0" w:space="0" w:color="auto"/>
        <w:left w:val="none" w:sz="0" w:space="0" w:color="auto"/>
        <w:bottom w:val="none" w:sz="0" w:space="0" w:color="auto"/>
        <w:right w:val="none" w:sz="0" w:space="0" w:color="auto"/>
      </w:divBdr>
    </w:div>
    <w:div w:id="812212367">
      <w:bodyDiv w:val="1"/>
      <w:marLeft w:val="0"/>
      <w:marRight w:val="0"/>
      <w:marTop w:val="0"/>
      <w:marBottom w:val="0"/>
      <w:divBdr>
        <w:top w:val="none" w:sz="0" w:space="0" w:color="auto"/>
        <w:left w:val="none" w:sz="0" w:space="0" w:color="auto"/>
        <w:bottom w:val="none" w:sz="0" w:space="0" w:color="auto"/>
        <w:right w:val="none" w:sz="0" w:space="0" w:color="auto"/>
      </w:divBdr>
    </w:div>
    <w:div w:id="821118068">
      <w:bodyDiv w:val="1"/>
      <w:marLeft w:val="0"/>
      <w:marRight w:val="0"/>
      <w:marTop w:val="0"/>
      <w:marBottom w:val="0"/>
      <w:divBdr>
        <w:top w:val="none" w:sz="0" w:space="0" w:color="auto"/>
        <w:left w:val="none" w:sz="0" w:space="0" w:color="auto"/>
        <w:bottom w:val="none" w:sz="0" w:space="0" w:color="auto"/>
        <w:right w:val="none" w:sz="0" w:space="0" w:color="auto"/>
      </w:divBdr>
    </w:div>
    <w:div w:id="834566130">
      <w:bodyDiv w:val="1"/>
      <w:marLeft w:val="0"/>
      <w:marRight w:val="0"/>
      <w:marTop w:val="0"/>
      <w:marBottom w:val="0"/>
      <w:divBdr>
        <w:top w:val="none" w:sz="0" w:space="0" w:color="auto"/>
        <w:left w:val="none" w:sz="0" w:space="0" w:color="auto"/>
        <w:bottom w:val="none" w:sz="0" w:space="0" w:color="auto"/>
        <w:right w:val="none" w:sz="0" w:space="0" w:color="auto"/>
      </w:divBdr>
    </w:div>
    <w:div w:id="840047863">
      <w:bodyDiv w:val="1"/>
      <w:marLeft w:val="0"/>
      <w:marRight w:val="0"/>
      <w:marTop w:val="0"/>
      <w:marBottom w:val="0"/>
      <w:divBdr>
        <w:top w:val="none" w:sz="0" w:space="0" w:color="auto"/>
        <w:left w:val="none" w:sz="0" w:space="0" w:color="auto"/>
        <w:bottom w:val="none" w:sz="0" w:space="0" w:color="auto"/>
        <w:right w:val="none" w:sz="0" w:space="0" w:color="auto"/>
      </w:divBdr>
    </w:div>
    <w:div w:id="856424955">
      <w:bodyDiv w:val="1"/>
      <w:marLeft w:val="0"/>
      <w:marRight w:val="0"/>
      <w:marTop w:val="0"/>
      <w:marBottom w:val="0"/>
      <w:divBdr>
        <w:top w:val="none" w:sz="0" w:space="0" w:color="auto"/>
        <w:left w:val="none" w:sz="0" w:space="0" w:color="auto"/>
        <w:bottom w:val="none" w:sz="0" w:space="0" w:color="auto"/>
        <w:right w:val="none" w:sz="0" w:space="0" w:color="auto"/>
      </w:divBdr>
    </w:div>
    <w:div w:id="866020405">
      <w:bodyDiv w:val="1"/>
      <w:marLeft w:val="0"/>
      <w:marRight w:val="0"/>
      <w:marTop w:val="0"/>
      <w:marBottom w:val="0"/>
      <w:divBdr>
        <w:top w:val="none" w:sz="0" w:space="0" w:color="auto"/>
        <w:left w:val="none" w:sz="0" w:space="0" w:color="auto"/>
        <w:bottom w:val="none" w:sz="0" w:space="0" w:color="auto"/>
        <w:right w:val="none" w:sz="0" w:space="0" w:color="auto"/>
      </w:divBdr>
    </w:div>
    <w:div w:id="901136376">
      <w:bodyDiv w:val="1"/>
      <w:marLeft w:val="0"/>
      <w:marRight w:val="0"/>
      <w:marTop w:val="0"/>
      <w:marBottom w:val="0"/>
      <w:divBdr>
        <w:top w:val="none" w:sz="0" w:space="0" w:color="auto"/>
        <w:left w:val="none" w:sz="0" w:space="0" w:color="auto"/>
        <w:bottom w:val="none" w:sz="0" w:space="0" w:color="auto"/>
        <w:right w:val="none" w:sz="0" w:space="0" w:color="auto"/>
      </w:divBdr>
    </w:div>
    <w:div w:id="932208647">
      <w:bodyDiv w:val="1"/>
      <w:marLeft w:val="0"/>
      <w:marRight w:val="0"/>
      <w:marTop w:val="0"/>
      <w:marBottom w:val="0"/>
      <w:divBdr>
        <w:top w:val="none" w:sz="0" w:space="0" w:color="auto"/>
        <w:left w:val="none" w:sz="0" w:space="0" w:color="auto"/>
        <w:bottom w:val="none" w:sz="0" w:space="0" w:color="auto"/>
        <w:right w:val="none" w:sz="0" w:space="0" w:color="auto"/>
      </w:divBdr>
    </w:div>
    <w:div w:id="965043561">
      <w:bodyDiv w:val="1"/>
      <w:marLeft w:val="0"/>
      <w:marRight w:val="0"/>
      <w:marTop w:val="0"/>
      <w:marBottom w:val="0"/>
      <w:divBdr>
        <w:top w:val="none" w:sz="0" w:space="0" w:color="auto"/>
        <w:left w:val="none" w:sz="0" w:space="0" w:color="auto"/>
        <w:bottom w:val="none" w:sz="0" w:space="0" w:color="auto"/>
        <w:right w:val="none" w:sz="0" w:space="0" w:color="auto"/>
      </w:divBdr>
    </w:div>
    <w:div w:id="979530427">
      <w:bodyDiv w:val="1"/>
      <w:marLeft w:val="0"/>
      <w:marRight w:val="0"/>
      <w:marTop w:val="0"/>
      <w:marBottom w:val="0"/>
      <w:divBdr>
        <w:top w:val="none" w:sz="0" w:space="0" w:color="auto"/>
        <w:left w:val="none" w:sz="0" w:space="0" w:color="auto"/>
        <w:bottom w:val="none" w:sz="0" w:space="0" w:color="auto"/>
        <w:right w:val="none" w:sz="0" w:space="0" w:color="auto"/>
      </w:divBdr>
    </w:div>
    <w:div w:id="979649116">
      <w:bodyDiv w:val="1"/>
      <w:marLeft w:val="0"/>
      <w:marRight w:val="0"/>
      <w:marTop w:val="0"/>
      <w:marBottom w:val="0"/>
      <w:divBdr>
        <w:top w:val="none" w:sz="0" w:space="0" w:color="auto"/>
        <w:left w:val="none" w:sz="0" w:space="0" w:color="auto"/>
        <w:bottom w:val="none" w:sz="0" w:space="0" w:color="auto"/>
        <w:right w:val="none" w:sz="0" w:space="0" w:color="auto"/>
      </w:divBdr>
    </w:div>
    <w:div w:id="980690998">
      <w:bodyDiv w:val="1"/>
      <w:marLeft w:val="0"/>
      <w:marRight w:val="0"/>
      <w:marTop w:val="0"/>
      <w:marBottom w:val="0"/>
      <w:divBdr>
        <w:top w:val="none" w:sz="0" w:space="0" w:color="auto"/>
        <w:left w:val="none" w:sz="0" w:space="0" w:color="auto"/>
        <w:bottom w:val="none" w:sz="0" w:space="0" w:color="auto"/>
        <w:right w:val="none" w:sz="0" w:space="0" w:color="auto"/>
      </w:divBdr>
    </w:div>
    <w:div w:id="1120995169">
      <w:bodyDiv w:val="1"/>
      <w:marLeft w:val="0"/>
      <w:marRight w:val="0"/>
      <w:marTop w:val="0"/>
      <w:marBottom w:val="0"/>
      <w:divBdr>
        <w:top w:val="none" w:sz="0" w:space="0" w:color="auto"/>
        <w:left w:val="none" w:sz="0" w:space="0" w:color="auto"/>
        <w:bottom w:val="none" w:sz="0" w:space="0" w:color="auto"/>
        <w:right w:val="none" w:sz="0" w:space="0" w:color="auto"/>
      </w:divBdr>
    </w:div>
    <w:div w:id="1130366751">
      <w:bodyDiv w:val="1"/>
      <w:marLeft w:val="0"/>
      <w:marRight w:val="0"/>
      <w:marTop w:val="0"/>
      <w:marBottom w:val="0"/>
      <w:divBdr>
        <w:top w:val="none" w:sz="0" w:space="0" w:color="auto"/>
        <w:left w:val="none" w:sz="0" w:space="0" w:color="auto"/>
        <w:bottom w:val="none" w:sz="0" w:space="0" w:color="auto"/>
        <w:right w:val="none" w:sz="0" w:space="0" w:color="auto"/>
      </w:divBdr>
    </w:div>
    <w:div w:id="1148204709">
      <w:bodyDiv w:val="1"/>
      <w:marLeft w:val="0"/>
      <w:marRight w:val="0"/>
      <w:marTop w:val="0"/>
      <w:marBottom w:val="0"/>
      <w:divBdr>
        <w:top w:val="none" w:sz="0" w:space="0" w:color="auto"/>
        <w:left w:val="none" w:sz="0" w:space="0" w:color="auto"/>
        <w:bottom w:val="none" w:sz="0" w:space="0" w:color="auto"/>
        <w:right w:val="none" w:sz="0" w:space="0" w:color="auto"/>
      </w:divBdr>
    </w:div>
    <w:div w:id="1155605514">
      <w:bodyDiv w:val="1"/>
      <w:marLeft w:val="0"/>
      <w:marRight w:val="0"/>
      <w:marTop w:val="0"/>
      <w:marBottom w:val="0"/>
      <w:divBdr>
        <w:top w:val="none" w:sz="0" w:space="0" w:color="auto"/>
        <w:left w:val="none" w:sz="0" w:space="0" w:color="auto"/>
        <w:bottom w:val="none" w:sz="0" w:space="0" w:color="auto"/>
        <w:right w:val="none" w:sz="0" w:space="0" w:color="auto"/>
      </w:divBdr>
    </w:div>
    <w:div w:id="1203517869">
      <w:bodyDiv w:val="1"/>
      <w:marLeft w:val="0"/>
      <w:marRight w:val="0"/>
      <w:marTop w:val="0"/>
      <w:marBottom w:val="0"/>
      <w:divBdr>
        <w:top w:val="none" w:sz="0" w:space="0" w:color="auto"/>
        <w:left w:val="none" w:sz="0" w:space="0" w:color="auto"/>
        <w:bottom w:val="none" w:sz="0" w:space="0" w:color="auto"/>
        <w:right w:val="none" w:sz="0" w:space="0" w:color="auto"/>
      </w:divBdr>
    </w:div>
    <w:div w:id="1237403117">
      <w:bodyDiv w:val="1"/>
      <w:marLeft w:val="0"/>
      <w:marRight w:val="0"/>
      <w:marTop w:val="0"/>
      <w:marBottom w:val="0"/>
      <w:divBdr>
        <w:top w:val="none" w:sz="0" w:space="0" w:color="auto"/>
        <w:left w:val="none" w:sz="0" w:space="0" w:color="auto"/>
        <w:bottom w:val="none" w:sz="0" w:space="0" w:color="auto"/>
        <w:right w:val="none" w:sz="0" w:space="0" w:color="auto"/>
      </w:divBdr>
    </w:div>
    <w:div w:id="1273434360">
      <w:bodyDiv w:val="1"/>
      <w:marLeft w:val="0"/>
      <w:marRight w:val="0"/>
      <w:marTop w:val="0"/>
      <w:marBottom w:val="0"/>
      <w:divBdr>
        <w:top w:val="none" w:sz="0" w:space="0" w:color="auto"/>
        <w:left w:val="none" w:sz="0" w:space="0" w:color="auto"/>
        <w:bottom w:val="none" w:sz="0" w:space="0" w:color="auto"/>
        <w:right w:val="none" w:sz="0" w:space="0" w:color="auto"/>
      </w:divBdr>
    </w:div>
    <w:div w:id="1290167457">
      <w:bodyDiv w:val="1"/>
      <w:marLeft w:val="0"/>
      <w:marRight w:val="0"/>
      <w:marTop w:val="0"/>
      <w:marBottom w:val="0"/>
      <w:divBdr>
        <w:top w:val="none" w:sz="0" w:space="0" w:color="auto"/>
        <w:left w:val="none" w:sz="0" w:space="0" w:color="auto"/>
        <w:bottom w:val="none" w:sz="0" w:space="0" w:color="auto"/>
        <w:right w:val="none" w:sz="0" w:space="0" w:color="auto"/>
      </w:divBdr>
    </w:div>
    <w:div w:id="1292007469">
      <w:bodyDiv w:val="1"/>
      <w:marLeft w:val="0"/>
      <w:marRight w:val="0"/>
      <w:marTop w:val="0"/>
      <w:marBottom w:val="0"/>
      <w:divBdr>
        <w:top w:val="none" w:sz="0" w:space="0" w:color="auto"/>
        <w:left w:val="none" w:sz="0" w:space="0" w:color="auto"/>
        <w:bottom w:val="none" w:sz="0" w:space="0" w:color="auto"/>
        <w:right w:val="none" w:sz="0" w:space="0" w:color="auto"/>
      </w:divBdr>
    </w:div>
    <w:div w:id="1316033252">
      <w:bodyDiv w:val="1"/>
      <w:marLeft w:val="0"/>
      <w:marRight w:val="0"/>
      <w:marTop w:val="0"/>
      <w:marBottom w:val="0"/>
      <w:divBdr>
        <w:top w:val="none" w:sz="0" w:space="0" w:color="auto"/>
        <w:left w:val="none" w:sz="0" w:space="0" w:color="auto"/>
        <w:bottom w:val="none" w:sz="0" w:space="0" w:color="auto"/>
        <w:right w:val="none" w:sz="0" w:space="0" w:color="auto"/>
      </w:divBdr>
    </w:div>
    <w:div w:id="1329677279">
      <w:bodyDiv w:val="1"/>
      <w:marLeft w:val="0"/>
      <w:marRight w:val="0"/>
      <w:marTop w:val="0"/>
      <w:marBottom w:val="0"/>
      <w:divBdr>
        <w:top w:val="none" w:sz="0" w:space="0" w:color="auto"/>
        <w:left w:val="none" w:sz="0" w:space="0" w:color="auto"/>
        <w:bottom w:val="none" w:sz="0" w:space="0" w:color="auto"/>
        <w:right w:val="none" w:sz="0" w:space="0" w:color="auto"/>
      </w:divBdr>
    </w:div>
    <w:div w:id="1360008368">
      <w:bodyDiv w:val="1"/>
      <w:marLeft w:val="0"/>
      <w:marRight w:val="0"/>
      <w:marTop w:val="0"/>
      <w:marBottom w:val="0"/>
      <w:divBdr>
        <w:top w:val="none" w:sz="0" w:space="0" w:color="auto"/>
        <w:left w:val="none" w:sz="0" w:space="0" w:color="auto"/>
        <w:bottom w:val="none" w:sz="0" w:space="0" w:color="auto"/>
        <w:right w:val="none" w:sz="0" w:space="0" w:color="auto"/>
      </w:divBdr>
    </w:div>
    <w:div w:id="1426533542">
      <w:bodyDiv w:val="1"/>
      <w:marLeft w:val="0"/>
      <w:marRight w:val="0"/>
      <w:marTop w:val="0"/>
      <w:marBottom w:val="0"/>
      <w:divBdr>
        <w:top w:val="none" w:sz="0" w:space="0" w:color="auto"/>
        <w:left w:val="none" w:sz="0" w:space="0" w:color="auto"/>
        <w:bottom w:val="none" w:sz="0" w:space="0" w:color="auto"/>
        <w:right w:val="none" w:sz="0" w:space="0" w:color="auto"/>
      </w:divBdr>
    </w:div>
    <w:div w:id="1442534584">
      <w:bodyDiv w:val="1"/>
      <w:marLeft w:val="0"/>
      <w:marRight w:val="0"/>
      <w:marTop w:val="0"/>
      <w:marBottom w:val="0"/>
      <w:divBdr>
        <w:top w:val="none" w:sz="0" w:space="0" w:color="auto"/>
        <w:left w:val="none" w:sz="0" w:space="0" w:color="auto"/>
        <w:bottom w:val="none" w:sz="0" w:space="0" w:color="auto"/>
        <w:right w:val="none" w:sz="0" w:space="0" w:color="auto"/>
      </w:divBdr>
    </w:div>
    <w:div w:id="1445465360">
      <w:bodyDiv w:val="1"/>
      <w:marLeft w:val="0"/>
      <w:marRight w:val="0"/>
      <w:marTop w:val="0"/>
      <w:marBottom w:val="0"/>
      <w:divBdr>
        <w:top w:val="none" w:sz="0" w:space="0" w:color="auto"/>
        <w:left w:val="none" w:sz="0" w:space="0" w:color="auto"/>
        <w:bottom w:val="none" w:sz="0" w:space="0" w:color="auto"/>
        <w:right w:val="none" w:sz="0" w:space="0" w:color="auto"/>
      </w:divBdr>
    </w:div>
    <w:div w:id="1464271253">
      <w:bodyDiv w:val="1"/>
      <w:marLeft w:val="0"/>
      <w:marRight w:val="0"/>
      <w:marTop w:val="0"/>
      <w:marBottom w:val="0"/>
      <w:divBdr>
        <w:top w:val="none" w:sz="0" w:space="0" w:color="auto"/>
        <w:left w:val="none" w:sz="0" w:space="0" w:color="auto"/>
        <w:bottom w:val="none" w:sz="0" w:space="0" w:color="auto"/>
        <w:right w:val="none" w:sz="0" w:space="0" w:color="auto"/>
      </w:divBdr>
    </w:div>
    <w:div w:id="1588809496">
      <w:bodyDiv w:val="1"/>
      <w:marLeft w:val="0"/>
      <w:marRight w:val="0"/>
      <w:marTop w:val="0"/>
      <w:marBottom w:val="0"/>
      <w:divBdr>
        <w:top w:val="none" w:sz="0" w:space="0" w:color="auto"/>
        <w:left w:val="none" w:sz="0" w:space="0" w:color="auto"/>
        <w:bottom w:val="none" w:sz="0" w:space="0" w:color="auto"/>
        <w:right w:val="none" w:sz="0" w:space="0" w:color="auto"/>
      </w:divBdr>
    </w:div>
    <w:div w:id="1595549112">
      <w:bodyDiv w:val="1"/>
      <w:marLeft w:val="0"/>
      <w:marRight w:val="0"/>
      <w:marTop w:val="0"/>
      <w:marBottom w:val="0"/>
      <w:divBdr>
        <w:top w:val="none" w:sz="0" w:space="0" w:color="auto"/>
        <w:left w:val="none" w:sz="0" w:space="0" w:color="auto"/>
        <w:bottom w:val="none" w:sz="0" w:space="0" w:color="auto"/>
        <w:right w:val="none" w:sz="0" w:space="0" w:color="auto"/>
      </w:divBdr>
    </w:div>
    <w:div w:id="1662612523">
      <w:bodyDiv w:val="1"/>
      <w:marLeft w:val="0"/>
      <w:marRight w:val="0"/>
      <w:marTop w:val="0"/>
      <w:marBottom w:val="0"/>
      <w:divBdr>
        <w:top w:val="none" w:sz="0" w:space="0" w:color="auto"/>
        <w:left w:val="none" w:sz="0" w:space="0" w:color="auto"/>
        <w:bottom w:val="none" w:sz="0" w:space="0" w:color="auto"/>
        <w:right w:val="none" w:sz="0" w:space="0" w:color="auto"/>
      </w:divBdr>
    </w:div>
    <w:div w:id="1673681262">
      <w:bodyDiv w:val="1"/>
      <w:marLeft w:val="0"/>
      <w:marRight w:val="0"/>
      <w:marTop w:val="0"/>
      <w:marBottom w:val="0"/>
      <w:divBdr>
        <w:top w:val="none" w:sz="0" w:space="0" w:color="auto"/>
        <w:left w:val="none" w:sz="0" w:space="0" w:color="auto"/>
        <w:bottom w:val="none" w:sz="0" w:space="0" w:color="auto"/>
        <w:right w:val="none" w:sz="0" w:space="0" w:color="auto"/>
      </w:divBdr>
    </w:div>
    <w:div w:id="1704987137">
      <w:bodyDiv w:val="1"/>
      <w:marLeft w:val="0"/>
      <w:marRight w:val="0"/>
      <w:marTop w:val="0"/>
      <w:marBottom w:val="0"/>
      <w:divBdr>
        <w:top w:val="none" w:sz="0" w:space="0" w:color="auto"/>
        <w:left w:val="none" w:sz="0" w:space="0" w:color="auto"/>
        <w:bottom w:val="none" w:sz="0" w:space="0" w:color="auto"/>
        <w:right w:val="none" w:sz="0" w:space="0" w:color="auto"/>
      </w:divBdr>
    </w:div>
    <w:div w:id="1713653781">
      <w:bodyDiv w:val="1"/>
      <w:marLeft w:val="0"/>
      <w:marRight w:val="0"/>
      <w:marTop w:val="0"/>
      <w:marBottom w:val="0"/>
      <w:divBdr>
        <w:top w:val="none" w:sz="0" w:space="0" w:color="auto"/>
        <w:left w:val="none" w:sz="0" w:space="0" w:color="auto"/>
        <w:bottom w:val="none" w:sz="0" w:space="0" w:color="auto"/>
        <w:right w:val="none" w:sz="0" w:space="0" w:color="auto"/>
      </w:divBdr>
    </w:div>
    <w:div w:id="1721057532">
      <w:bodyDiv w:val="1"/>
      <w:marLeft w:val="0"/>
      <w:marRight w:val="0"/>
      <w:marTop w:val="0"/>
      <w:marBottom w:val="0"/>
      <w:divBdr>
        <w:top w:val="none" w:sz="0" w:space="0" w:color="auto"/>
        <w:left w:val="none" w:sz="0" w:space="0" w:color="auto"/>
        <w:bottom w:val="none" w:sz="0" w:space="0" w:color="auto"/>
        <w:right w:val="none" w:sz="0" w:space="0" w:color="auto"/>
      </w:divBdr>
    </w:div>
    <w:div w:id="1753500312">
      <w:bodyDiv w:val="1"/>
      <w:marLeft w:val="0"/>
      <w:marRight w:val="0"/>
      <w:marTop w:val="0"/>
      <w:marBottom w:val="0"/>
      <w:divBdr>
        <w:top w:val="none" w:sz="0" w:space="0" w:color="auto"/>
        <w:left w:val="none" w:sz="0" w:space="0" w:color="auto"/>
        <w:bottom w:val="none" w:sz="0" w:space="0" w:color="auto"/>
        <w:right w:val="none" w:sz="0" w:space="0" w:color="auto"/>
      </w:divBdr>
    </w:div>
    <w:div w:id="1767119934">
      <w:bodyDiv w:val="1"/>
      <w:marLeft w:val="0"/>
      <w:marRight w:val="0"/>
      <w:marTop w:val="0"/>
      <w:marBottom w:val="0"/>
      <w:divBdr>
        <w:top w:val="none" w:sz="0" w:space="0" w:color="auto"/>
        <w:left w:val="none" w:sz="0" w:space="0" w:color="auto"/>
        <w:bottom w:val="none" w:sz="0" w:space="0" w:color="auto"/>
        <w:right w:val="none" w:sz="0" w:space="0" w:color="auto"/>
      </w:divBdr>
    </w:div>
    <w:div w:id="1769039500">
      <w:bodyDiv w:val="1"/>
      <w:marLeft w:val="0"/>
      <w:marRight w:val="0"/>
      <w:marTop w:val="0"/>
      <w:marBottom w:val="0"/>
      <w:divBdr>
        <w:top w:val="none" w:sz="0" w:space="0" w:color="auto"/>
        <w:left w:val="none" w:sz="0" w:space="0" w:color="auto"/>
        <w:bottom w:val="none" w:sz="0" w:space="0" w:color="auto"/>
        <w:right w:val="none" w:sz="0" w:space="0" w:color="auto"/>
      </w:divBdr>
    </w:div>
    <w:div w:id="1770393019">
      <w:bodyDiv w:val="1"/>
      <w:marLeft w:val="0"/>
      <w:marRight w:val="0"/>
      <w:marTop w:val="0"/>
      <w:marBottom w:val="0"/>
      <w:divBdr>
        <w:top w:val="none" w:sz="0" w:space="0" w:color="auto"/>
        <w:left w:val="none" w:sz="0" w:space="0" w:color="auto"/>
        <w:bottom w:val="none" w:sz="0" w:space="0" w:color="auto"/>
        <w:right w:val="none" w:sz="0" w:space="0" w:color="auto"/>
      </w:divBdr>
    </w:div>
    <w:div w:id="1772316177">
      <w:bodyDiv w:val="1"/>
      <w:marLeft w:val="0"/>
      <w:marRight w:val="0"/>
      <w:marTop w:val="0"/>
      <w:marBottom w:val="0"/>
      <w:divBdr>
        <w:top w:val="none" w:sz="0" w:space="0" w:color="auto"/>
        <w:left w:val="none" w:sz="0" w:space="0" w:color="auto"/>
        <w:bottom w:val="none" w:sz="0" w:space="0" w:color="auto"/>
        <w:right w:val="none" w:sz="0" w:space="0" w:color="auto"/>
      </w:divBdr>
    </w:div>
    <w:div w:id="1849562247">
      <w:bodyDiv w:val="1"/>
      <w:marLeft w:val="0"/>
      <w:marRight w:val="0"/>
      <w:marTop w:val="0"/>
      <w:marBottom w:val="0"/>
      <w:divBdr>
        <w:top w:val="none" w:sz="0" w:space="0" w:color="auto"/>
        <w:left w:val="none" w:sz="0" w:space="0" w:color="auto"/>
        <w:bottom w:val="none" w:sz="0" w:space="0" w:color="auto"/>
        <w:right w:val="none" w:sz="0" w:space="0" w:color="auto"/>
      </w:divBdr>
    </w:div>
    <w:div w:id="1883440145">
      <w:bodyDiv w:val="1"/>
      <w:marLeft w:val="0"/>
      <w:marRight w:val="0"/>
      <w:marTop w:val="0"/>
      <w:marBottom w:val="0"/>
      <w:divBdr>
        <w:top w:val="none" w:sz="0" w:space="0" w:color="auto"/>
        <w:left w:val="none" w:sz="0" w:space="0" w:color="auto"/>
        <w:bottom w:val="none" w:sz="0" w:space="0" w:color="auto"/>
        <w:right w:val="none" w:sz="0" w:space="0" w:color="auto"/>
      </w:divBdr>
    </w:div>
    <w:div w:id="1885024205">
      <w:bodyDiv w:val="1"/>
      <w:marLeft w:val="0"/>
      <w:marRight w:val="0"/>
      <w:marTop w:val="0"/>
      <w:marBottom w:val="0"/>
      <w:divBdr>
        <w:top w:val="none" w:sz="0" w:space="0" w:color="auto"/>
        <w:left w:val="none" w:sz="0" w:space="0" w:color="auto"/>
        <w:bottom w:val="none" w:sz="0" w:space="0" w:color="auto"/>
        <w:right w:val="none" w:sz="0" w:space="0" w:color="auto"/>
      </w:divBdr>
    </w:div>
    <w:div w:id="1894392846">
      <w:bodyDiv w:val="1"/>
      <w:marLeft w:val="0"/>
      <w:marRight w:val="0"/>
      <w:marTop w:val="0"/>
      <w:marBottom w:val="0"/>
      <w:divBdr>
        <w:top w:val="none" w:sz="0" w:space="0" w:color="auto"/>
        <w:left w:val="none" w:sz="0" w:space="0" w:color="auto"/>
        <w:bottom w:val="none" w:sz="0" w:space="0" w:color="auto"/>
        <w:right w:val="none" w:sz="0" w:space="0" w:color="auto"/>
      </w:divBdr>
    </w:div>
    <w:div w:id="1916890517">
      <w:bodyDiv w:val="1"/>
      <w:marLeft w:val="0"/>
      <w:marRight w:val="0"/>
      <w:marTop w:val="0"/>
      <w:marBottom w:val="0"/>
      <w:divBdr>
        <w:top w:val="none" w:sz="0" w:space="0" w:color="auto"/>
        <w:left w:val="none" w:sz="0" w:space="0" w:color="auto"/>
        <w:bottom w:val="none" w:sz="0" w:space="0" w:color="auto"/>
        <w:right w:val="none" w:sz="0" w:space="0" w:color="auto"/>
      </w:divBdr>
    </w:div>
    <w:div w:id="1968583006">
      <w:bodyDiv w:val="1"/>
      <w:marLeft w:val="0"/>
      <w:marRight w:val="0"/>
      <w:marTop w:val="0"/>
      <w:marBottom w:val="0"/>
      <w:divBdr>
        <w:top w:val="none" w:sz="0" w:space="0" w:color="auto"/>
        <w:left w:val="none" w:sz="0" w:space="0" w:color="auto"/>
        <w:bottom w:val="none" w:sz="0" w:space="0" w:color="auto"/>
        <w:right w:val="none" w:sz="0" w:space="0" w:color="auto"/>
      </w:divBdr>
    </w:div>
    <w:div w:id="1969318380">
      <w:bodyDiv w:val="1"/>
      <w:marLeft w:val="0"/>
      <w:marRight w:val="0"/>
      <w:marTop w:val="0"/>
      <w:marBottom w:val="0"/>
      <w:divBdr>
        <w:top w:val="none" w:sz="0" w:space="0" w:color="auto"/>
        <w:left w:val="none" w:sz="0" w:space="0" w:color="auto"/>
        <w:bottom w:val="none" w:sz="0" w:space="0" w:color="auto"/>
        <w:right w:val="none" w:sz="0" w:space="0" w:color="auto"/>
      </w:divBdr>
    </w:div>
    <w:div w:id="1994138645">
      <w:bodyDiv w:val="1"/>
      <w:marLeft w:val="0"/>
      <w:marRight w:val="0"/>
      <w:marTop w:val="0"/>
      <w:marBottom w:val="0"/>
      <w:divBdr>
        <w:top w:val="none" w:sz="0" w:space="0" w:color="auto"/>
        <w:left w:val="none" w:sz="0" w:space="0" w:color="auto"/>
        <w:bottom w:val="none" w:sz="0" w:space="0" w:color="auto"/>
        <w:right w:val="none" w:sz="0" w:space="0" w:color="auto"/>
      </w:divBdr>
    </w:div>
    <w:div w:id="2002389363">
      <w:bodyDiv w:val="1"/>
      <w:marLeft w:val="0"/>
      <w:marRight w:val="0"/>
      <w:marTop w:val="0"/>
      <w:marBottom w:val="0"/>
      <w:divBdr>
        <w:top w:val="none" w:sz="0" w:space="0" w:color="auto"/>
        <w:left w:val="none" w:sz="0" w:space="0" w:color="auto"/>
        <w:bottom w:val="none" w:sz="0" w:space="0" w:color="auto"/>
        <w:right w:val="none" w:sz="0" w:space="0" w:color="auto"/>
      </w:divBdr>
    </w:div>
    <w:div w:id="2009795122">
      <w:bodyDiv w:val="1"/>
      <w:marLeft w:val="0"/>
      <w:marRight w:val="0"/>
      <w:marTop w:val="0"/>
      <w:marBottom w:val="0"/>
      <w:divBdr>
        <w:top w:val="none" w:sz="0" w:space="0" w:color="auto"/>
        <w:left w:val="none" w:sz="0" w:space="0" w:color="auto"/>
        <w:bottom w:val="none" w:sz="0" w:space="0" w:color="auto"/>
        <w:right w:val="none" w:sz="0" w:space="0" w:color="auto"/>
      </w:divBdr>
    </w:div>
    <w:div w:id="2061131726">
      <w:bodyDiv w:val="1"/>
      <w:marLeft w:val="0"/>
      <w:marRight w:val="0"/>
      <w:marTop w:val="0"/>
      <w:marBottom w:val="0"/>
      <w:divBdr>
        <w:top w:val="none" w:sz="0" w:space="0" w:color="auto"/>
        <w:left w:val="none" w:sz="0" w:space="0" w:color="auto"/>
        <w:bottom w:val="none" w:sz="0" w:space="0" w:color="auto"/>
        <w:right w:val="none" w:sz="0" w:space="0" w:color="auto"/>
      </w:divBdr>
    </w:div>
    <w:div w:id="2079282048">
      <w:bodyDiv w:val="1"/>
      <w:marLeft w:val="0"/>
      <w:marRight w:val="0"/>
      <w:marTop w:val="0"/>
      <w:marBottom w:val="0"/>
      <w:divBdr>
        <w:top w:val="none" w:sz="0" w:space="0" w:color="auto"/>
        <w:left w:val="none" w:sz="0" w:space="0" w:color="auto"/>
        <w:bottom w:val="none" w:sz="0" w:space="0" w:color="auto"/>
        <w:right w:val="none" w:sz="0" w:space="0" w:color="auto"/>
      </w:divBdr>
    </w:div>
    <w:div w:id="2080901735">
      <w:bodyDiv w:val="1"/>
      <w:marLeft w:val="0"/>
      <w:marRight w:val="0"/>
      <w:marTop w:val="0"/>
      <w:marBottom w:val="0"/>
      <w:divBdr>
        <w:top w:val="none" w:sz="0" w:space="0" w:color="auto"/>
        <w:left w:val="none" w:sz="0" w:space="0" w:color="auto"/>
        <w:bottom w:val="none" w:sz="0" w:space="0" w:color="auto"/>
        <w:right w:val="none" w:sz="0" w:space="0" w:color="auto"/>
      </w:divBdr>
    </w:div>
    <w:div w:id="2097944361">
      <w:bodyDiv w:val="1"/>
      <w:marLeft w:val="0"/>
      <w:marRight w:val="0"/>
      <w:marTop w:val="0"/>
      <w:marBottom w:val="0"/>
      <w:divBdr>
        <w:top w:val="none" w:sz="0" w:space="0" w:color="auto"/>
        <w:left w:val="none" w:sz="0" w:space="0" w:color="auto"/>
        <w:bottom w:val="none" w:sz="0" w:space="0" w:color="auto"/>
        <w:right w:val="none" w:sz="0" w:space="0" w:color="auto"/>
      </w:divBdr>
    </w:div>
    <w:div w:id="21388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header" Target="head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SUBDERE\Evaluacion%20PMU%20Julio%202014\nuevos%20excel\Demanda%202013-2014%20v1.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ortiz.ADSUBDERE\Desktop\Libro1.xlsx"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herrera\Documents\SUBDERE\Evaluacion%20PMU%20Julio%202014\nuevos%20excel\inversion%20efectiva%20etiquetados%202011-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UBDERE\Evaluacion%20PMU%20Julio%202014\nuevos%20excel\4%20l&#237;ne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UBDERE\Evaluacion%20PMU%20Julio%202014\nuevos%20excel\4%20l&#237;nea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SUBDERE\Demanda%202013-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SUBDERE\Evaluacion%20PMU%20Julio%202014\nuevos%20excel\4%20l&#237;ne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SUBDERE\Evaluacion%20PMU%20Julio%202014\nuevos%20excel\4%20l&#237;nea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lortiz.ADSUBDERE\Desktop\Libro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05092896992767"/>
          <c:y val="4.5798837414127179E-2"/>
          <c:w val="0.7008861163230361"/>
          <c:h val="0.53965205643992398"/>
        </c:manualLayout>
      </c:layout>
      <c:barChart>
        <c:barDir val="bar"/>
        <c:grouping val="stacked"/>
        <c:varyColors val="0"/>
        <c:ser>
          <c:idx val="0"/>
          <c:order val="0"/>
          <c:tx>
            <c:strRef>
              <c:f>'ÁREAS DE INVERSIÓN demanda'!$O$6</c:f>
              <c:strCache>
                <c:ptCount val="1"/>
                <c:pt idx="0">
                  <c:v>ALUMBRADO</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demanda'!$Q$6,'ÁREAS DE INVERSIÓN demanda'!$U$6,'ÁREAS DE INVERSIÓN demanda'!$Y$6)</c:f>
              <c:numCache>
                <c:formatCode>0.0%</c:formatCode>
                <c:ptCount val="3"/>
                <c:pt idx="0">
                  <c:v>1.5895440165485757E-2</c:v>
                </c:pt>
                <c:pt idx="1">
                  <c:v>3.8906250455456592E-2</c:v>
                </c:pt>
                <c:pt idx="2">
                  <c:v>2.539903830428978E-2</c:v>
                </c:pt>
              </c:numCache>
            </c:numRef>
          </c:val>
        </c:ser>
        <c:ser>
          <c:idx val="1"/>
          <c:order val="1"/>
          <c:tx>
            <c:strRef>
              <c:f>'ÁREAS DE INVERSIÓN demanda'!$O$7</c:f>
              <c:strCache>
                <c:ptCount val="1"/>
                <c:pt idx="0">
                  <c:v>ÁREAS VERDES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('ÁREAS DE INVERSIÓN demanda'!$Q$5,'ÁREAS DE INVERSIÓN demanda'!$U$5,'ÁREAS DE INVERSIÓN demanda'!$Y$5)</c:f>
              <c:strCache>
                <c:ptCount val="3"/>
                <c:pt idx="0">
                  <c:v>2013</c:v>
                </c:pt>
                <c:pt idx="1">
                  <c:v>2014</c:v>
                </c:pt>
                <c:pt idx="2">
                  <c:v>BIENIO</c:v>
                </c:pt>
              </c:strCache>
            </c:strRef>
          </c:cat>
          <c:val>
            <c:numRef>
              <c:f>('ÁREAS DE INVERSIÓN demanda'!$Q$7,'ÁREAS DE INVERSIÓN demanda'!$U$7,'ÁREAS DE INVERSIÓN demanda'!$Y$7)</c:f>
              <c:numCache>
                <c:formatCode>0.0%</c:formatCode>
                <c:ptCount val="3"/>
                <c:pt idx="0">
                  <c:v>0.12922856435692764</c:v>
                </c:pt>
                <c:pt idx="1">
                  <c:v>0.11880133060961838</c:v>
                </c:pt>
                <c:pt idx="2">
                  <c:v>0.12492205632939446</c:v>
                </c:pt>
              </c:numCache>
            </c:numRef>
          </c:val>
        </c:ser>
        <c:ser>
          <c:idx val="3"/>
          <c:order val="2"/>
          <c:tx>
            <c:strRef>
              <c:f>'ÁREAS DE INVERSIÓN demanda'!$O$9</c:f>
              <c:strCache>
                <c:ptCount val="1"/>
                <c:pt idx="0">
                  <c:v>CAMINOS</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demanda'!$Q$9,'ÁREAS DE INVERSIÓN demanda'!$U$9,'ÁREAS DE INVERSIÓN demanda'!$Y$9)</c:f>
              <c:numCache>
                <c:formatCode>0.0%</c:formatCode>
                <c:ptCount val="3"/>
                <c:pt idx="0">
                  <c:v>4.5065848449480604E-3</c:v>
                </c:pt>
                <c:pt idx="1">
                  <c:v>9.2627919628694259E-3</c:v>
                </c:pt>
                <c:pt idx="2">
                  <c:v>6.4709259760965211E-3</c:v>
                </c:pt>
              </c:numCache>
            </c:numRef>
          </c:val>
        </c:ser>
        <c:ser>
          <c:idx val="4"/>
          <c:order val="3"/>
          <c:tx>
            <c:strRef>
              <c:f>'ÁREAS DE INVERSIÓN demanda'!$O$10</c:f>
              <c:strCache>
                <c:ptCount val="1"/>
                <c:pt idx="0">
                  <c:v>CEMENTERIOS</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demanda'!$Q$10,'ÁREAS DE INVERSIÓN demanda'!$U$10,'ÁREAS DE INVERSIÓN demanda'!$Y$10)</c:f>
              <c:numCache>
                <c:formatCode>0.0%</c:formatCode>
                <c:ptCount val="3"/>
                <c:pt idx="0">
                  <c:v>1.1439117894574571E-2</c:v>
                </c:pt>
                <c:pt idx="1">
                  <c:v>7.2247557851282396E-3</c:v>
                </c:pt>
                <c:pt idx="2">
                  <c:v>9.6985618952477384E-3</c:v>
                </c:pt>
              </c:numCache>
            </c:numRef>
          </c:val>
        </c:ser>
        <c:ser>
          <c:idx val="5"/>
          <c:order val="4"/>
          <c:tx>
            <c:strRef>
              <c:f>'ÁREAS DE INVERSIÓN demanda'!$O$11</c:f>
              <c:strCache>
                <c:ptCount val="1"/>
                <c:pt idx="0">
                  <c:v>CONSTRUCCIÓN CALLES/ACERAS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('ÁREAS DE INVERSIÓN demanda'!$Q$5,'ÁREAS DE INVERSIÓN demanda'!$U$5,'ÁREAS DE INVERSIÓN demanda'!$Y$5)</c:f>
              <c:strCache>
                <c:ptCount val="3"/>
                <c:pt idx="0">
                  <c:v>2013</c:v>
                </c:pt>
                <c:pt idx="1">
                  <c:v>2014</c:v>
                </c:pt>
                <c:pt idx="2">
                  <c:v>BIENIO</c:v>
                </c:pt>
              </c:strCache>
            </c:strRef>
          </c:cat>
          <c:val>
            <c:numRef>
              <c:f>('ÁREAS DE INVERSIÓN demanda'!$Q$11,'ÁREAS DE INVERSIÓN demanda'!$U$11,'ÁREAS DE INVERSIÓN demanda'!$Y$11)</c:f>
              <c:numCache>
                <c:formatCode>0.0%</c:formatCode>
                <c:ptCount val="3"/>
                <c:pt idx="0">
                  <c:v>9.6304215133349691E-2</c:v>
                </c:pt>
                <c:pt idx="1">
                  <c:v>0.16126151699052793</c:v>
                </c:pt>
                <c:pt idx="2">
                  <c:v>0.12313195762708838</c:v>
                </c:pt>
              </c:numCache>
            </c:numRef>
          </c:val>
        </c:ser>
        <c:ser>
          <c:idx val="6"/>
          <c:order val="5"/>
          <c:tx>
            <c:strRef>
              <c:f>'ÁREAS DE INVERSIÓN demanda'!$O$12</c:f>
              <c:strCache>
                <c:ptCount val="1"/>
                <c:pt idx="0">
                  <c:v>ESPACIO ACTIVO</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demanda'!$Q$12,'ÁREAS DE INVERSIÓN demanda'!$U$12,'ÁREAS DE INVERSIÓN demanda'!$Y$12)</c:f>
              <c:numCache>
                <c:formatCode>0.0%</c:formatCode>
                <c:ptCount val="3"/>
                <c:pt idx="0">
                  <c:v>1.5543261811012864E-2</c:v>
                </c:pt>
                <c:pt idx="1">
                  <c:v>0</c:v>
                </c:pt>
                <c:pt idx="2">
                  <c:v>9.1238045143496819E-3</c:v>
                </c:pt>
              </c:numCache>
            </c:numRef>
          </c:val>
        </c:ser>
        <c:ser>
          <c:idx val="7"/>
          <c:order val="6"/>
          <c:tx>
            <c:strRef>
              <c:f>'ÁREAS DE INVERSIÓN demanda'!$O$13</c:f>
              <c:strCache>
                <c:ptCount val="1"/>
                <c:pt idx="0">
                  <c:v>INFRAESTRUCTURA DE SALUD</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demanda'!$Q$13,'ÁREAS DE INVERSIÓN demanda'!$U$13,'ÁREAS DE INVERSIÓN demanda'!$Y$13)</c:f>
              <c:numCache>
                <c:formatCode>0.0%</c:formatCode>
                <c:ptCount val="3"/>
                <c:pt idx="0">
                  <c:v>1.6369045267718235E-2</c:v>
                </c:pt>
                <c:pt idx="1">
                  <c:v>1.0032881228627485E-2</c:v>
                </c:pt>
                <c:pt idx="2">
                  <c:v>1.3752172762567695E-2</c:v>
                </c:pt>
              </c:numCache>
            </c:numRef>
          </c:val>
        </c:ser>
        <c:ser>
          <c:idx val="8"/>
          <c:order val="7"/>
          <c:tx>
            <c:strRef>
              <c:f>'ÁREAS DE INVERSIÓN demanda'!$O$14</c:f>
              <c:strCache>
                <c:ptCount val="1"/>
                <c:pt idx="0">
                  <c:v>INFRAESTRUCTURA DEPORTIVA</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('ÁREAS DE INVERSIÓN demanda'!$Q$5,'ÁREAS DE INVERSIÓN demanda'!$U$5,'ÁREAS DE INVERSIÓN demanda'!$Y$5)</c:f>
              <c:strCache>
                <c:ptCount val="3"/>
                <c:pt idx="0">
                  <c:v>2013</c:v>
                </c:pt>
                <c:pt idx="1">
                  <c:v>2014</c:v>
                </c:pt>
                <c:pt idx="2">
                  <c:v>BIENIO</c:v>
                </c:pt>
              </c:strCache>
            </c:strRef>
          </c:cat>
          <c:val>
            <c:numRef>
              <c:f>('ÁREAS DE INVERSIÓN demanda'!$Q$14,'ÁREAS DE INVERSIÓN demanda'!$U$14,'ÁREAS DE INVERSIÓN demanda'!$Y$14)</c:f>
              <c:numCache>
                <c:formatCode>0.0%</c:formatCode>
                <c:ptCount val="3"/>
                <c:pt idx="0">
                  <c:v>0.15455375734662152</c:v>
                </c:pt>
                <c:pt idx="1">
                  <c:v>0.11007094490887055</c:v>
                </c:pt>
                <c:pt idx="2">
                  <c:v>0.13618209775858733</c:v>
                </c:pt>
              </c:numCache>
            </c:numRef>
          </c:val>
        </c:ser>
        <c:ser>
          <c:idx val="9"/>
          <c:order val="8"/>
          <c:tx>
            <c:strRef>
              <c:f>'ÁREAS DE INVERSIÓN demanda'!$O$15</c:f>
              <c:strCache>
                <c:ptCount val="1"/>
                <c:pt idx="0">
                  <c:v>INFRAESTRUCTURA ESCUELAS Y LICEOS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('ÁREAS DE INVERSIÓN demanda'!$Q$5,'ÁREAS DE INVERSIÓN demanda'!$U$5,'ÁREAS DE INVERSIÓN demanda'!$Y$5)</c:f>
              <c:strCache>
                <c:ptCount val="3"/>
                <c:pt idx="0">
                  <c:v>2013</c:v>
                </c:pt>
                <c:pt idx="1">
                  <c:v>2014</c:v>
                </c:pt>
                <c:pt idx="2">
                  <c:v>BIENIO</c:v>
                </c:pt>
              </c:strCache>
            </c:strRef>
          </c:cat>
          <c:val>
            <c:numRef>
              <c:f>('ÁREAS DE INVERSIÓN demanda'!$Q$15,'ÁREAS DE INVERSIÓN demanda'!$U$15,'ÁREAS DE INVERSIÓN demanda'!$Y$15)</c:f>
              <c:numCache>
                <c:formatCode>0.0%</c:formatCode>
                <c:ptCount val="3"/>
                <c:pt idx="0">
                  <c:v>0.24528400729975761</c:v>
                </c:pt>
                <c:pt idx="1">
                  <c:v>0.28281431375908733</c:v>
                </c:pt>
                <c:pt idx="2">
                  <c:v>0.26078424158620883</c:v>
                </c:pt>
              </c:numCache>
            </c:numRef>
          </c:val>
        </c:ser>
        <c:ser>
          <c:idx val="10"/>
          <c:order val="9"/>
          <c:tx>
            <c:strRef>
              <c:f>'ÁREAS DE INVERSIÓN demanda'!$O$16</c:f>
              <c:strCache>
                <c:ptCount val="1"/>
                <c:pt idx="0">
                  <c:v>OTRAS OBRAS URBANAS/RURALES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('ÁREAS DE INVERSIÓN demanda'!$Q$5,'ÁREAS DE INVERSIÓN demanda'!$U$5,'ÁREAS DE INVERSIÓN demanda'!$Y$5)</c:f>
              <c:strCache>
                <c:ptCount val="3"/>
                <c:pt idx="0">
                  <c:v>2013</c:v>
                </c:pt>
                <c:pt idx="1">
                  <c:v>2014</c:v>
                </c:pt>
                <c:pt idx="2">
                  <c:v>BIENIO</c:v>
                </c:pt>
              </c:strCache>
            </c:strRef>
          </c:cat>
          <c:val>
            <c:numRef>
              <c:f>('ÁREAS DE INVERSIÓN demanda'!$Q$16,'ÁREAS DE INVERSIÓN demanda'!$U$16,'ÁREAS DE INVERSIÓN demanda'!$Y$16)</c:f>
              <c:numCache>
                <c:formatCode>0.0%</c:formatCode>
                <c:ptCount val="3"/>
                <c:pt idx="0">
                  <c:v>9.4956246043915352E-2</c:v>
                </c:pt>
                <c:pt idx="1">
                  <c:v>8.009407458100197E-2</c:v>
                </c:pt>
                <c:pt idx="2">
                  <c:v>8.8818083012121102E-2</c:v>
                </c:pt>
              </c:numCache>
            </c:numRef>
          </c:val>
        </c:ser>
        <c:ser>
          <c:idx val="11"/>
          <c:order val="10"/>
          <c:tx>
            <c:strRef>
              <c:f>'ÁREAS DE INVERSIÓN demanda'!$O$17</c:f>
              <c:strCache>
                <c:ptCount val="1"/>
                <c:pt idx="0">
                  <c:v>OBRAS CONSISTORIALES/MUNICIPALES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('ÁREAS DE INVERSIÓN demanda'!$Q$5,'ÁREAS DE INVERSIÓN demanda'!$U$5,'ÁREAS DE INVERSIÓN demanda'!$Y$5)</c:f>
              <c:strCache>
                <c:ptCount val="3"/>
                <c:pt idx="0">
                  <c:v>2013</c:v>
                </c:pt>
                <c:pt idx="1">
                  <c:v>2014</c:v>
                </c:pt>
                <c:pt idx="2">
                  <c:v>BIENIO</c:v>
                </c:pt>
              </c:strCache>
            </c:strRef>
          </c:cat>
          <c:val>
            <c:numRef>
              <c:f>('ÁREAS DE INVERSIÓN demanda'!$Q$17,'ÁREAS DE INVERSIÓN demanda'!$U$17,'ÁREAS DE INVERSIÓN demanda'!$Y$17)</c:f>
              <c:numCache>
                <c:formatCode>0.0%</c:formatCode>
                <c:ptCount val="3"/>
                <c:pt idx="0">
                  <c:v>4.3643140667037165E-2</c:v>
                </c:pt>
                <c:pt idx="1">
                  <c:v>3.361555563963043E-2</c:v>
                </c:pt>
                <c:pt idx="2">
                  <c:v>3.9501689879243872E-2</c:v>
                </c:pt>
              </c:numCache>
            </c:numRef>
          </c:val>
        </c:ser>
        <c:ser>
          <c:idx val="12"/>
          <c:order val="11"/>
          <c:tx>
            <c:strRef>
              <c:f>'ÁREAS DE INVERSIÓN demanda'!$O$18</c:f>
              <c:strCache>
                <c:ptCount val="1"/>
                <c:pt idx="0">
                  <c:v>PASARELAS</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demanda'!$Q$18,'ÁREAS DE INVERSIÓN demanda'!$U$18,'ÁREAS DE INVERSIÓN demanda'!$Y$18)</c:f>
              <c:numCache>
                <c:formatCode>0.0%</c:formatCode>
                <c:ptCount val="3"/>
                <c:pt idx="0">
                  <c:v>7.1676937918400668E-3</c:v>
                </c:pt>
                <c:pt idx="1">
                  <c:v>2.7538538598800171E-3</c:v>
                </c:pt>
                <c:pt idx="2">
                  <c:v>5.3447522946153047E-3</c:v>
                </c:pt>
              </c:numCache>
            </c:numRef>
          </c:val>
        </c:ser>
        <c:ser>
          <c:idx val="13"/>
          <c:order val="12"/>
          <c:tx>
            <c:strRef>
              <c:f>'ÁREAS DE INVERSIÓN demanda'!$O$19</c:f>
              <c:strCache>
                <c:ptCount val="1"/>
                <c:pt idx="0">
                  <c:v>PLAZA ACTIVA</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demanda'!$Q$19,'ÁREAS DE INVERSIÓN demanda'!$U$19,'ÁREAS DE INVERSIÓN demanda'!$Y$19)</c:f>
              <c:numCache>
                <c:formatCode>0.0%</c:formatCode>
                <c:ptCount val="3"/>
                <c:pt idx="0">
                  <c:v>3.9422593078508025E-2</c:v>
                </c:pt>
                <c:pt idx="1">
                  <c:v>1.5091862903291306E-2</c:v>
                </c:pt>
                <c:pt idx="2">
                  <c:v>2.9373860370050867E-2</c:v>
                </c:pt>
              </c:numCache>
            </c:numRef>
          </c:val>
        </c:ser>
        <c:ser>
          <c:idx val="14"/>
          <c:order val="13"/>
          <c:tx>
            <c:strRef>
              <c:f>'ÁREAS DE INVERSIÓN demanda'!$O$20</c:f>
              <c:strCache>
                <c:ptCount val="1"/>
                <c:pt idx="0">
                  <c:v>RIEGO</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demanda'!$Q$20,'ÁREAS DE INVERSIÓN demanda'!$U$20,'ÁREAS DE INVERSIÓN demanda'!$Y$20)</c:f>
              <c:numCache>
                <c:formatCode>0.0%</c:formatCode>
                <c:ptCount val="3"/>
                <c:pt idx="0">
                  <c:v>2.1311984573201405E-4</c:v>
                </c:pt>
                <c:pt idx="1">
                  <c:v>0</c:v>
                </c:pt>
                <c:pt idx="2">
                  <c:v>1.2510011310557396E-4</c:v>
                </c:pt>
              </c:numCache>
            </c:numRef>
          </c:val>
        </c:ser>
        <c:ser>
          <c:idx val="15"/>
          <c:order val="14"/>
          <c:tx>
            <c:strRef>
              <c:f>'ÁREAS DE INVERSIÓN demanda'!$O$21</c:f>
              <c:strCache>
                <c:ptCount val="1"/>
                <c:pt idx="0">
                  <c:v>SEDES SOCIALES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('ÁREAS DE INVERSIÓN demanda'!$Q$5,'ÁREAS DE INVERSIÓN demanda'!$U$5,'ÁREAS DE INVERSIÓN demanda'!$Y$5)</c:f>
              <c:strCache>
                <c:ptCount val="3"/>
                <c:pt idx="0">
                  <c:v>2013</c:v>
                </c:pt>
                <c:pt idx="1">
                  <c:v>2014</c:v>
                </c:pt>
                <c:pt idx="2">
                  <c:v>BIENIO</c:v>
                </c:pt>
              </c:strCache>
            </c:strRef>
          </c:cat>
          <c:val>
            <c:numRef>
              <c:f>('ÁREAS DE INVERSIÓN demanda'!$Q$21,'ÁREAS DE INVERSIÓN demanda'!$U$21,'ÁREAS DE INVERSIÓN demanda'!$Y$21)</c:f>
              <c:numCache>
                <c:formatCode>0.0%</c:formatCode>
                <c:ptCount val="3"/>
                <c:pt idx="0">
                  <c:v>0.10555325701991193</c:v>
                </c:pt>
                <c:pt idx="1">
                  <c:v>0.10758760420479672</c:v>
                </c:pt>
                <c:pt idx="2">
                  <c:v>0.10639345420881226</c:v>
                </c:pt>
              </c:numCache>
            </c:numRef>
          </c:val>
        </c:ser>
        <c:ser>
          <c:idx val="16"/>
          <c:order val="15"/>
          <c:tx>
            <c:strRef>
              <c:f>'ÁREAS DE INVERSIÓN demanda'!$O$22</c:f>
              <c:strCache>
                <c:ptCount val="1"/>
                <c:pt idx="0">
                  <c:v>SERVICIOS BÁSICOS</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demanda'!$Q$22,'ÁREAS DE INVERSIÓN demanda'!$U$22,'ÁREAS DE INVERSIÓN demanda'!$Y$22)</c:f>
              <c:numCache>
                <c:formatCode>0.0%</c:formatCode>
                <c:ptCount val="3"/>
                <c:pt idx="0">
                  <c:v>1.6406705570416187E-2</c:v>
                </c:pt>
                <c:pt idx="1">
                  <c:v>1.8652103016724372E-2</c:v>
                </c:pt>
                <c:pt idx="2">
                  <c:v>1.7334067741617536E-2</c:v>
                </c:pt>
              </c:numCache>
            </c:numRef>
          </c:val>
        </c:ser>
        <c:ser>
          <c:idx val="17"/>
          <c:order val="16"/>
          <c:tx>
            <c:strRef>
              <c:f>'ÁREAS DE INVERSIÓN demanda'!$O$23</c:f>
              <c:strCache>
                <c:ptCount val="1"/>
                <c:pt idx="0">
                  <c:v>VARIOS</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demanda'!$Q$23,'ÁREAS DE INVERSIÓN demanda'!$U$23,'ÁREAS DE INVERSIÓN demanda'!$Y$23)</c:f>
              <c:numCache>
                <c:formatCode>0.0%</c:formatCode>
                <c:ptCount val="3"/>
                <c:pt idx="0">
                  <c:v>2.5680968261857129E-3</c:v>
                </c:pt>
                <c:pt idx="1">
                  <c:v>5.282979440674806E-4</c:v>
                </c:pt>
                <c:pt idx="2">
                  <c:v>1.7256480547018847E-3</c:v>
                </c:pt>
              </c:numCache>
            </c:numRef>
          </c:val>
        </c:ser>
        <c:ser>
          <c:idx val="18"/>
          <c:order val="17"/>
          <c:tx>
            <c:strRef>
              <c:f>'ÁREAS DE INVERSIÓN demanda'!$O$24</c:f>
              <c:strCache>
                <c:ptCount val="1"/>
                <c:pt idx="0">
                  <c:v>VERTEDEROS</c:v>
                </c:pt>
              </c:strCache>
            </c:strRef>
          </c:tx>
          <c:invertIfNegative val="0"/>
          <c:dLbls>
            <c:delete val="1"/>
          </c:dLbls>
          <c:cat>
            <c:strRef>
              <c:f>('ÁREAS DE INVERSIÓN demanda'!$Q$5,'ÁREAS DE INVERSIÓN demanda'!$U$5,'ÁREAS DE INVERSIÓN demanda'!$Y$5)</c:f>
              <c:strCache>
                <c:ptCount val="3"/>
                <c:pt idx="0">
                  <c:v>2013</c:v>
                </c:pt>
                <c:pt idx="1">
                  <c:v>2014</c:v>
                </c:pt>
                <c:pt idx="2">
                  <c:v>BIENIO</c:v>
                </c:pt>
              </c:strCache>
            </c:strRef>
          </c:cat>
          <c:val>
            <c:numRef>
              <c:f>('ÁREAS DE INVERSIÓN demanda'!$Q$24,'ÁREAS DE INVERSIÓN demanda'!$U$24,'ÁREAS DE INVERSIÓN demanda'!$Y$24)</c:f>
              <c:numCache>
                <c:formatCode>0.0%</c:formatCode>
                <c:ptCount val="3"/>
                <c:pt idx="0">
                  <c:v>9.45153036057571E-4</c:v>
                </c:pt>
                <c:pt idx="1">
                  <c:v>0</c:v>
                </c:pt>
                <c:pt idx="2">
                  <c:v>5.5479934919602553E-4</c:v>
                </c:pt>
              </c:numCache>
            </c:numRef>
          </c:val>
        </c:ser>
        <c:dLbls>
          <c:dLblPos val="ctr"/>
          <c:showLegendKey val="0"/>
          <c:showVal val="1"/>
          <c:showCatName val="0"/>
          <c:showSerName val="0"/>
          <c:showPercent val="0"/>
          <c:showBubbleSize val="0"/>
        </c:dLbls>
        <c:gapWidth val="150"/>
        <c:overlap val="100"/>
        <c:axId val="518111064"/>
        <c:axId val="518111456"/>
      </c:barChart>
      <c:catAx>
        <c:axId val="51811106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L"/>
          </a:p>
        </c:txPr>
        <c:crossAx val="518111456"/>
        <c:crosses val="autoZero"/>
        <c:auto val="1"/>
        <c:lblAlgn val="ctr"/>
        <c:lblOffset val="100"/>
        <c:noMultiLvlLbl val="0"/>
      </c:catAx>
      <c:valAx>
        <c:axId val="518111456"/>
        <c:scaling>
          <c:orientation val="minMax"/>
          <c:max val="1"/>
        </c:scaling>
        <c:delete val="0"/>
        <c:axPos val="b"/>
        <c:majorGridlines/>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L"/>
          </a:p>
        </c:txPr>
        <c:crossAx val="518111064"/>
        <c:crosses val="autoZero"/>
        <c:crossBetween val="between"/>
      </c:valAx>
    </c:plotArea>
    <c:legend>
      <c:legendPos val="b"/>
      <c:layout>
        <c:manualLayout>
          <c:xMode val="edge"/>
          <c:yMode val="edge"/>
          <c:x val="2.4726262577666594E-2"/>
          <c:y val="0.65244285894596099"/>
          <c:w val="0.96317815161088571"/>
          <c:h val="0.34051116606725024"/>
        </c:manualLayout>
      </c:layout>
      <c:overlay val="0"/>
      <c:txPr>
        <a:bodyPr/>
        <a:lstStyle/>
        <a:p>
          <a:pPr>
            <a:defRPr sz="845" b="0" i="0" u="none" strike="noStrike" baseline="0">
              <a:solidFill>
                <a:srgbClr val="000000"/>
              </a:solidFill>
              <a:latin typeface="Calibri"/>
              <a:ea typeface="Calibri"/>
              <a:cs typeface="Calibri"/>
            </a:defRPr>
          </a:pPr>
          <a:endParaRPr lang="es-CL"/>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C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059067453976357E-2"/>
          <c:y val="3.5666386468964383E-2"/>
          <c:w val="0.93156274627364022"/>
          <c:h val="0.61551505708429555"/>
        </c:manualLayout>
      </c:layout>
      <c:barChart>
        <c:barDir val="col"/>
        <c:grouping val="percentStacked"/>
        <c:varyColors val="0"/>
        <c:ser>
          <c:idx val="0"/>
          <c:order val="0"/>
          <c:tx>
            <c:strRef>
              <c:f>Hoja2!$B$62</c:f>
              <c:strCache>
                <c:ptCount val="1"/>
                <c:pt idx="0">
                  <c:v>Aceras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Hoja2!$C$62:$J$62</c:f>
              <c:numCache>
                <c:formatCode>0.00%</c:formatCode>
                <c:ptCount val="8"/>
                <c:pt idx="0">
                  <c:v>9.2771753884235045E-2</c:v>
                </c:pt>
                <c:pt idx="1">
                  <c:v>0.17689984553518442</c:v>
                </c:pt>
                <c:pt idx="2">
                  <c:v>8.4410234975921553E-2</c:v>
                </c:pt>
                <c:pt idx="3">
                  <c:v>0.15860938475910136</c:v>
                </c:pt>
                <c:pt idx="4">
                  <c:v>0.11533289500871581</c:v>
                </c:pt>
                <c:pt idx="5">
                  <c:v>0.19546442303690459</c:v>
                </c:pt>
                <c:pt idx="6">
                  <c:v>9.7352677135193244E-2</c:v>
                </c:pt>
                <c:pt idx="7">
                  <c:v>0.17748785930304375</c:v>
                </c:pt>
              </c:numCache>
            </c:numRef>
          </c:val>
        </c:ser>
        <c:ser>
          <c:idx val="1"/>
          <c:order val="1"/>
          <c:tx>
            <c:strRef>
              <c:f>Hoja2!$B$63</c:f>
              <c:strCache>
                <c:ptCount val="1"/>
                <c:pt idx="0">
                  <c:v>Áreas verdes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Hoja2!$C$63:$J$63</c:f>
              <c:numCache>
                <c:formatCode>0.00%</c:formatCode>
                <c:ptCount val="8"/>
                <c:pt idx="0">
                  <c:v>3.4640781899365723E-2</c:v>
                </c:pt>
                <c:pt idx="1">
                  <c:v>7.4473284657949015E-2</c:v>
                </c:pt>
                <c:pt idx="2">
                  <c:v>6.7514669013981704E-2</c:v>
                </c:pt>
                <c:pt idx="3">
                  <c:v>0.12294619420894837</c:v>
                </c:pt>
                <c:pt idx="4">
                  <c:v>6.4697219355488875E-2</c:v>
                </c:pt>
                <c:pt idx="5">
                  <c:v>0.11280336064461102</c:v>
                </c:pt>
                <c:pt idx="6">
                  <c:v>5.6684008541403354E-2</c:v>
                </c:pt>
                <c:pt idx="7">
                  <c:v>9.6542725497906268E-2</c:v>
                </c:pt>
              </c:numCache>
            </c:numRef>
          </c:val>
        </c:ser>
        <c:ser>
          <c:idx val="2"/>
          <c:order val="2"/>
          <c:tx>
            <c:strRef>
              <c:f>Hoja2!$B$64</c:f>
              <c:strCache>
                <c:ptCount val="1"/>
                <c:pt idx="0">
                  <c:v>Construcción y mejoramiento de canchas deportivas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Hoja2!$C$64:$J$64</c:f>
              <c:numCache>
                <c:formatCode>0.00%</c:formatCode>
                <c:ptCount val="8"/>
                <c:pt idx="0">
                  <c:v>0.14812378227357947</c:v>
                </c:pt>
                <c:pt idx="1">
                  <c:v>7.1027032445031224E-2</c:v>
                </c:pt>
                <c:pt idx="2">
                  <c:v>0.15428185089154195</c:v>
                </c:pt>
                <c:pt idx="3">
                  <c:v>5.1718773258266314E-2</c:v>
                </c:pt>
                <c:pt idx="4">
                  <c:v>0.15380603671499896</c:v>
                </c:pt>
                <c:pt idx="5">
                  <c:v>8.2091300296415481E-2</c:v>
                </c:pt>
                <c:pt idx="6">
                  <c:v>0.15227053331650592</c:v>
                </c:pt>
                <c:pt idx="7">
                  <c:v>6.9344263413884735E-2</c:v>
                </c:pt>
              </c:numCache>
            </c:numRef>
          </c:val>
        </c:ser>
        <c:ser>
          <c:idx val="3"/>
          <c:order val="3"/>
          <c:tx>
            <c:strRef>
              <c:f>Hoja2!$B$65</c:f>
              <c:strCache>
                <c:ptCount val="1"/>
                <c:pt idx="0">
                  <c:v>Consultorios</c:v>
                </c:pt>
              </c:strCache>
            </c:strRef>
          </c:tx>
          <c:spPr>
            <a:solidFill>
              <a:schemeClr val="accent4"/>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Hoja2!$C$65:$J$65</c:f>
              <c:numCache>
                <c:formatCode>0.00%</c:formatCode>
                <c:ptCount val="8"/>
                <c:pt idx="0">
                  <c:v>3.1177272217409707E-2</c:v>
                </c:pt>
                <c:pt idx="1">
                  <c:v>1.0037954350930767E-2</c:v>
                </c:pt>
                <c:pt idx="2">
                  <c:v>1.4460944810656668E-2</c:v>
                </c:pt>
                <c:pt idx="3">
                  <c:v>1.1282939949298933E-2</c:v>
                </c:pt>
                <c:pt idx="4">
                  <c:v>1.384479528294217E-2</c:v>
                </c:pt>
                <c:pt idx="5">
                  <c:v>3.5445462267376326E-3</c:v>
                </c:pt>
                <c:pt idx="6">
                  <c:v>1.9277312003962439E-2</c:v>
                </c:pt>
                <c:pt idx="7">
                  <c:v>8.5862023117600893E-3</c:v>
                </c:pt>
              </c:numCache>
            </c:numRef>
          </c:val>
        </c:ser>
        <c:ser>
          <c:idx val="4"/>
          <c:order val="4"/>
          <c:tx>
            <c:strRef>
              <c:f>Hoja2!$B$66</c:f>
              <c:strCache>
                <c:ptCount val="1"/>
                <c:pt idx="0">
                  <c:v>Escuelas</c:v>
                </c:pt>
              </c:strCache>
            </c:strRef>
          </c:tx>
          <c:spPr>
            <a:solidFill>
              <a:schemeClr val="accent5"/>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Hoja2!$C$66:$J$66</c:f>
              <c:numCache>
                <c:formatCode>0.00%</c:formatCode>
                <c:ptCount val="8"/>
                <c:pt idx="0">
                  <c:v>1.5008051015608578E-2</c:v>
                </c:pt>
                <c:pt idx="1">
                  <c:v>3.9700122063096553E-3</c:v>
                </c:pt>
                <c:pt idx="2">
                  <c:v>1.9302873764543416E-2</c:v>
                </c:pt>
                <c:pt idx="3">
                  <c:v>1.2611050001820601E-2</c:v>
                </c:pt>
                <c:pt idx="4">
                  <c:v>4.1188757720044836E-2</c:v>
                </c:pt>
                <c:pt idx="5">
                  <c:v>2.0062700400762655E-2</c:v>
                </c:pt>
                <c:pt idx="6">
                  <c:v>2.5393537245074968E-2</c:v>
                </c:pt>
                <c:pt idx="7">
                  <c:v>1.0403817542865146E-2</c:v>
                </c:pt>
              </c:numCache>
            </c:numRef>
          </c:val>
        </c:ser>
        <c:ser>
          <c:idx val="5"/>
          <c:order val="5"/>
          <c:tx>
            <c:strRef>
              <c:f>Hoja2!$B$67</c:f>
              <c:strCache>
                <c:ptCount val="1"/>
                <c:pt idx="0">
                  <c:v>Implementación de deportes alternativos</c:v>
                </c:pt>
              </c:strCache>
            </c:strRef>
          </c:tx>
          <c:spPr>
            <a:solidFill>
              <a:schemeClr val="accent6"/>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Hoja2!$C$67:$J$67</c:f>
              <c:numCache>
                <c:formatCode>0.00%</c:formatCode>
                <c:ptCount val="8"/>
                <c:pt idx="0">
                  <c:v>1.5973041763951246E-2</c:v>
                </c:pt>
                <c:pt idx="1">
                  <c:v>4.8057039262191193E-3</c:v>
                </c:pt>
                <c:pt idx="2">
                  <c:v>2.0039223331846191E-2</c:v>
                </c:pt>
                <c:pt idx="3">
                  <c:v>1.0662320157868993E-2</c:v>
                </c:pt>
                <c:pt idx="4">
                  <c:v>1.5108784642657582E-2</c:v>
                </c:pt>
                <c:pt idx="5">
                  <c:v>1.0580104454616752E-2</c:v>
                </c:pt>
                <c:pt idx="6">
                  <c:v>1.7154213239885297E-2</c:v>
                </c:pt>
                <c:pt idx="7">
                  <c:v>7.7808024921285513E-3</c:v>
                </c:pt>
              </c:numCache>
            </c:numRef>
          </c:val>
        </c:ser>
        <c:ser>
          <c:idx val="6"/>
          <c:order val="6"/>
          <c:tx>
            <c:strRef>
              <c:f>Hoja2!$B$68</c:f>
              <c:strCache>
                <c:ptCount val="1"/>
                <c:pt idx="0">
                  <c:v>Infraestructura de servicios municipales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Hoja2!$C$68:$J$68</c:f>
              <c:numCache>
                <c:formatCode>0.00%</c:formatCode>
                <c:ptCount val="8"/>
                <c:pt idx="0">
                  <c:v>8.362631622852866E-2</c:v>
                </c:pt>
                <c:pt idx="1">
                  <c:v>6.4120447127145069E-2</c:v>
                </c:pt>
                <c:pt idx="2">
                  <c:v>3.1208740370510645E-2</c:v>
                </c:pt>
                <c:pt idx="3">
                  <c:v>4.0820055436162218E-2</c:v>
                </c:pt>
                <c:pt idx="4">
                  <c:v>6.5775517856958399E-2</c:v>
                </c:pt>
                <c:pt idx="5">
                  <c:v>6.1720175981480482E-2</c:v>
                </c:pt>
                <c:pt idx="6">
                  <c:v>5.8621512800482077E-2</c:v>
                </c:pt>
                <c:pt idx="7">
                  <c:v>5.7837599074500805E-2</c:v>
                </c:pt>
              </c:numCache>
            </c:numRef>
          </c:val>
        </c:ser>
        <c:ser>
          <c:idx val="7"/>
          <c:order val="7"/>
          <c:tx>
            <c:strRef>
              <c:f>Hoja2!$B$69</c:f>
              <c:strCache>
                <c:ptCount val="1"/>
                <c:pt idx="0">
                  <c:v>Instalaciones sanitarias y obras civiles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Hoja2!$C$69:$J$69</c:f>
              <c:numCache>
                <c:formatCode>0.00%</c:formatCode>
                <c:ptCount val="8"/>
                <c:pt idx="0">
                  <c:v>6.2544155101702248E-2</c:v>
                </c:pt>
                <c:pt idx="1">
                  <c:v>7.3966372544128578E-2</c:v>
                </c:pt>
                <c:pt idx="2">
                  <c:v>3.5049846467411619E-2</c:v>
                </c:pt>
                <c:pt idx="3">
                  <c:v>9.61115065712973E-2</c:v>
                </c:pt>
                <c:pt idx="4">
                  <c:v>6.0360189638391591E-2</c:v>
                </c:pt>
                <c:pt idx="5">
                  <c:v>5.0727703597378618E-2</c:v>
                </c:pt>
                <c:pt idx="6">
                  <c:v>5.1849868857769717E-2</c:v>
                </c:pt>
                <c:pt idx="7">
                  <c:v>7.3048836036214357E-2</c:v>
                </c:pt>
              </c:numCache>
            </c:numRef>
          </c:val>
        </c:ser>
        <c:ser>
          <c:idx val="8"/>
          <c:order val="8"/>
          <c:tx>
            <c:strRef>
              <c:f>Hoja2!$B$70</c:f>
              <c:strCache>
                <c:ptCount val="1"/>
                <c:pt idx="0">
                  <c:v>Jardín infantil</c:v>
                </c:pt>
              </c:strCache>
            </c:strRef>
          </c:tx>
          <c:spPr>
            <a:solidFill>
              <a:schemeClr val="accent3">
                <a:lumMod val="6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Hoja2!$C$70:$J$70</c:f>
              <c:numCache>
                <c:formatCode>0.00%</c:formatCode>
                <c:ptCount val="8"/>
                <c:pt idx="0">
                  <c:v>7.5636010202744675E-3</c:v>
                </c:pt>
                <c:pt idx="1">
                  <c:v>3.208906172240099E-3</c:v>
                </c:pt>
                <c:pt idx="2">
                  <c:v>5.674077693766261E-3</c:v>
                </c:pt>
                <c:pt idx="3">
                  <c:v>6.569551183093731E-3</c:v>
                </c:pt>
                <c:pt idx="4">
                  <c:v>7.5472982677827179E-3</c:v>
                </c:pt>
                <c:pt idx="5">
                  <c:v>6.1365761194113076E-3</c:v>
                </c:pt>
                <c:pt idx="6">
                  <c:v>6.873768244247006E-3</c:v>
                </c:pt>
                <c:pt idx="7">
                  <c:v>4.8119353041283916E-3</c:v>
                </c:pt>
              </c:numCache>
            </c:numRef>
          </c:val>
        </c:ser>
        <c:ser>
          <c:idx val="9"/>
          <c:order val="9"/>
          <c:tx>
            <c:strRef>
              <c:f>Hoja2!$B$71</c:f>
              <c:strCache>
                <c:ptCount val="1"/>
                <c:pt idx="0">
                  <c:v>Pasarela peatonal y puentes</c:v>
                </c:pt>
              </c:strCache>
            </c:strRef>
          </c:tx>
          <c:spPr>
            <a:solidFill>
              <a:schemeClr val="accent4">
                <a:lumMod val="6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Hoja2!$C$71:$J$71</c:f>
              <c:numCache>
                <c:formatCode>0.00%</c:formatCode>
                <c:ptCount val="8"/>
                <c:pt idx="0">
                  <c:v>4.0023344763976697E-2</c:v>
                </c:pt>
                <c:pt idx="1">
                  <c:v>1.2213298451214558E-2</c:v>
                </c:pt>
                <c:pt idx="2">
                  <c:v>4.430008403399871E-2</c:v>
                </c:pt>
                <c:pt idx="3">
                  <c:v>9.27233119747237E-3</c:v>
                </c:pt>
                <c:pt idx="4">
                  <c:v>2.33001909268792E-2</c:v>
                </c:pt>
                <c:pt idx="5">
                  <c:v>5.0753605554493307E-3</c:v>
                </c:pt>
                <c:pt idx="6">
                  <c:v>3.5932013880925671E-2</c:v>
                </c:pt>
                <c:pt idx="7">
                  <c:v>9.5752396070853917E-3</c:v>
                </c:pt>
              </c:numCache>
            </c:numRef>
          </c:val>
        </c:ser>
        <c:ser>
          <c:idx val="10"/>
          <c:order val="10"/>
          <c:tx>
            <c:strRef>
              <c:f>Hoja2!$B$72</c:f>
              <c:strCache>
                <c:ptCount val="1"/>
                <c:pt idx="0">
                  <c:v>Pavimentación y mejoramiento de caminos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Hoja2!$C$72:$J$72</c:f>
              <c:numCache>
                <c:formatCode>0.00%</c:formatCode>
                <c:ptCount val="8"/>
                <c:pt idx="0">
                  <c:v>4.4518004205898624E-2</c:v>
                </c:pt>
                <c:pt idx="1">
                  <c:v>5.7117693620756353E-2</c:v>
                </c:pt>
                <c:pt idx="2">
                  <c:v>0.11134256309412224</c:v>
                </c:pt>
                <c:pt idx="3">
                  <c:v>0.10443590348181801</c:v>
                </c:pt>
                <c:pt idx="4">
                  <c:v>6.0196804243114556E-2</c:v>
                </c:pt>
                <c:pt idx="5">
                  <c:v>8.1108095985571019E-2</c:v>
                </c:pt>
                <c:pt idx="6">
                  <c:v>7.4008073707461985E-2</c:v>
                </c:pt>
                <c:pt idx="7">
                  <c:v>7.5037019426562879E-2</c:v>
                </c:pt>
              </c:numCache>
            </c:numRef>
          </c:val>
        </c:ser>
        <c:ser>
          <c:idx val="11"/>
          <c:order val="11"/>
          <c:tx>
            <c:strRef>
              <c:f>Hoja2!$B$73</c:f>
              <c:strCache>
                <c:ptCount val="1"/>
                <c:pt idx="0">
                  <c:v>Plazas activas</c:v>
                </c:pt>
              </c:strCache>
            </c:strRef>
          </c:tx>
          <c:spPr>
            <a:solidFill>
              <a:schemeClr val="accent6">
                <a:lumMod val="6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Hoja2!$C$73:$J$73</c:f>
              <c:numCache>
                <c:formatCode>0.00%</c:formatCode>
                <c:ptCount val="8"/>
                <c:pt idx="0">
                  <c:v>1.3488632432549622E-2</c:v>
                </c:pt>
                <c:pt idx="1">
                  <c:v>8.0865517740014211E-3</c:v>
                </c:pt>
                <c:pt idx="2">
                  <c:v>4.455219199711663E-2</c:v>
                </c:pt>
                <c:pt idx="3">
                  <c:v>2.804381030351882E-2</c:v>
                </c:pt>
                <c:pt idx="4">
                  <c:v>4.0474017785008788E-2</c:v>
                </c:pt>
                <c:pt idx="5">
                  <c:v>2.8667023259680912E-2</c:v>
                </c:pt>
                <c:pt idx="6">
                  <c:v>3.3840427666492187E-2</c:v>
                </c:pt>
                <c:pt idx="7">
                  <c:v>1.8468484022448536E-2</c:v>
                </c:pt>
              </c:numCache>
            </c:numRef>
          </c:val>
        </c:ser>
        <c:ser>
          <c:idx val="12"/>
          <c:order val="12"/>
          <c:tx>
            <c:strRef>
              <c:f>Hoja2!$B$74</c:f>
              <c:strCache>
                <c:ptCount val="1"/>
                <c:pt idx="0">
                  <c:v>Plazas y juegos infantiles</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Hoja2!$C$74:$J$74</c:f>
              <c:numCache>
                <c:formatCode>0.00%</c:formatCode>
                <c:ptCount val="8"/>
                <c:pt idx="0">
                  <c:v>0.12158306084225429</c:v>
                </c:pt>
                <c:pt idx="1">
                  <c:v>7.2509030961200593E-2</c:v>
                </c:pt>
                <c:pt idx="2">
                  <c:v>0.11310644434609794</c:v>
                </c:pt>
                <c:pt idx="3">
                  <c:v>0.10937311772753694</c:v>
                </c:pt>
                <c:pt idx="4">
                  <c:v>0.1240638125522769</c:v>
                </c:pt>
                <c:pt idx="5">
                  <c:v>0.11009188633182342</c:v>
                </c:pt>
                <c:pt idx="6">
                  <c:v>0.11934974720208265</c:v>
                </c:pt>
                <c:pt idx="7">
                  <c:v>9.1569313635043156E-2</c:v>
                </c:pt>
              </c:numCache>
            </c:numRef>
          </c:val>
        </c:ser>
        <c:ser>
          <c:idx val="13"/>
          <c:order val="13"/>
          <c:tx>
            <c:strRef>
              <c:f>Hoja2!$B$75</c:f>
              <c:strCache>
                <c:ptCount val="1"/>
                <c:pt idx="0">
                  <c:v>Recuperación borde costero</c:v>
                </c:pt>
              </c:strCache>
            </c:strRef>
          </c:tx>
          <c:spPr>
            <a:solidFill>
              <a:schemeClr val="accent2">
                <a:lumMod val="80000"/>
                <a:lumOff val="2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Hoja2!$C$75:$J$75</c:f>
              <c:numCache>
                <c:formatCode>0.00%</c:formatCode>
                <c:ptCount val="8"/>
                <c:pt idx="0">
                  <c:v>4.2090799149017196E-3</c:v>
                </c:pt>
                <c:pt idx="1">
                  <c:v>0</c:v>
                </c:pt>
                <c:pt idx="2">
                  <c:v>2.6193872603141278E-3</c:v>
                </c:pt>
                <c:pt idx="3">
                  <c:v>4.9653178204497254E-4</c:v>
                </c:pt>
                <c:pt idx="4">
                  <c:v>9.1873694184369924E-4</c:v>
                </c:pt>
                <c:pt idx="5">
                  <c:v>4.8165569534955113E-3</c:v>
                </c:pt>
                <c:pt idx="6">
                  <c:v>2.5235958525571529E-3</c:v>
                </c:pt>
                <c:pt idx="7">
                  <c:v>1.4202660790179386E-3</c:v>
                </c:pt>
              </c:numCache>
            </c:numRef>
          </c:val>
        </c:ser>
        <c:ser>
          <c:idx val="14"/>
          <c:order val="14"/>
          <c:tx>
            <c:strRef>
              <c:f>Hoja2!$B$76</c:f>
              <c:strCache>
                <c:ptCount val="1"/>
                <c:pt idx="0">
                  <c:v>Recuperación de espacios públicos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Hoja2!$C$76:$J$76</c:f>
              <c:numCache>
                <c:formatCode>0.00%</c:formatCode>
                <c:ptCount val="8"/>
                <c:pt idx="0">
                  <c:v>0.10760009157396942</c:v>
                </c:pt>
                <c:pt idx="1">
                  <c:v>0.17897208417883059</c:v>
                </c:pt>
                <c:pt idx="2">
                  <c:v>6.0765655680688965E-2</c:v>
                </c:pt>
                <c:pt idx="3">
                  <c:v>0.10099391835596604</c:v>
                </c:pt>
                <c:pt idx="4">
                  <c:v>4.8357649976173214E-2</c:v>
                </c:pt>
                <c:pt idx="5">
                  <c:v>8.666084231857378E-2</c:v>
                </c:pt>
                <c:pt idx="6">
                  <c:v>7.0657111332379757E-2</c:v>
                </c:pt>
                <c:pt idx="7">
                  <c:v>0.13519542908831458</c:v>
                </c:pt>
              </c:numCache>
            </c:numRef>
          </c:val>
        </c:ser>
        <c:ser>
          <c:idx val="15"/>
          <c:order val="15"/>
          <c:tx>
            <c:strRef>
              <c:f>Hoja2!$B$77</c:f>
              <c:strCache>
                <c:ptCount val="1"/>
                <c:pt idx="0">
                  <c:v>Refugios peatonales y terminal de buses</c:v>
                </c:pt>
              </c:strCache>
            </c:strRef>
          </c:tx>
          <c:spPr>
            <a:solidFill>
              <a:schemeClr val="accent4">
                <a:lumMod val="80000"/>
                <a:lumOff val="2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Hoja2!$C$77:$J$77</c:f>
              <c:numCache>
                <c:formatCode>0.00%</c:formatCode>
                <c:ptCount val="8"/>
                <c:pt idx="0">
                  <c:v>1.2694812662186784E-2</c:v>
                </c:pt>
                <c:pt idx="1">
                  <c:v>3.1506703082178601E-2</c:v>
                </c:pt>
                <c:pt idx="2">
                  <c:v>6.3732841761593925E-3</c:v>
                </c:pt>
                <c:pt idx="3">
                  <c:v>3.9880121889947599E-3</c:v>
                </c:pt>
                <c:pt idx="4">
                  <c:v>1.2290319414458349E-2</c:v>
                </c:pt>
                <c:pt idx="5">
                  <c:v>1.8864674580761066E-2</c:v>
                </c:pt>
                <c:pt idx="6">
                  <c:v>1.0268901563377973E-2</c:v>
                </c:pt>
                <c:pt idx="7">
                  <c:v>2.143904103875581E-2</c:v>
                </c:pt>
              </c:numCache>
            </c:numRef>
          </c:val>
        </c:ser>
        <c:ser>
          <c:idx val="16"/>
          <c:order val="16"/>
          <c:tx>
            <c:strRef>
              <c:f>Hoja2!$B$78</c:f>
              <c:strCache>
                <c:ptCount val="1"/>
                <c:pt idx="0">
                  <c:v>Reparación de cementerios</c:v>
                </c:pt>
              </c:strCache>
            </c:strRef>
          </c:tx>
          <c:spPr>
            <a:solidFill>
              <a:schemeClr val="accent5">
                <a:lumMod val="80000"/>
                <a:lumOff val="2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Hoja2!$C$78:$J$78</c:f>
              <c:numCache>
                <c:formatCode>0.00%</c:formatCode>
                <c:ptCount val="8"/>
                <c:pt idx="0">
                  <c:v>1.5033000562734532E-2</c:v>
                </c:pt>
                <c:pt idx="1">
                  <c:v>2.1650078646781125E-2</c:v>
                </c:pt>
                <c:pt idx="2">
                  <c:v>6.0494877723506956E-3</c:v>
                </c:pt>
                <c:pt idx="3">
                  <c:v>2.1229712873114846E-2</c:v>
                </c:pt>
                <c:pt idx="4">
                  <c:v>2.0214100199984333E-2</c:v>
                </c:pt>
                <c:pt idx="5">
                  <c:v>2.793582708346801E-2</c:v>
                </c:pt>
                <c:pt idx="6">
                  <c:v>1.3526854327185358E-2</c:v>
                </c:pt>
                <c:pt idx="7">
                  <c:v>2.3245199119862465E-2</c:v>
                </c:pt>
              </c:numCache>
            </c:numRef>
          </c:val>
        </c:ser>
        <c:ser>
          <c:idx val="17"/>
          <c:order val="17"/>
          <c:tx>
            <c:strRef>
              <c:f>Hoja2!$B$79</c:f>
              <c:strCache>
                <c:ptCount val="1"/>
                <c:pt idx="0">
                  <c:v>Sedes comunitarias</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Hoja2!$C$79:$J$79</c:f>
              <c:numCache>
                <c:formatCode>0.00%</c:formatCode>
                <c:ptCount val="8"/>
                <c:pt idx="0">
                  <c:v>8.0884811681878721E-2</c:v>
                </c:pt>
                <c:pt idx="1">
                  <c:v>0.1051748558601707</c:v>
                </c:pt>
                <c:pt idx="2">
                  <c:v>0.1309344677319832</c:v>
                </c:pt>
                <c:pt idx="3">
                  <c:v>6.2829516854482667E-2</c:v>
                </c:pt>
                <c:pt idx="4">
                  <c:v>9.7321054875154037E-2</c:v>
                </c:pt>
                <c:pt idx="5">
                  <c:v>5.6725956897931397E-2</c:v>
                </c:pt>
                <c:pt idx="6">
                  <c:v>0.10455492875768123</c:v>
                </c:pt>
                <c:pt idx="7">
                  <c:v>8.1855808937640759E-2</c:v>
                </c:pt>
              </c:numCache>
            </c:numRef>
          </c:val>
        </c:ser>
        <c:ser>
          <c:idx val="18"/>
          <c:order val="18"/>
          <c:tx>
            <c:strRef>
              <c:f>Hoja2!$B$80</c:f>
              <c:strCache>
                <c:ptCount val="1"/>
                <c:pt idx="0">
                  <c:v>Señaléticas</c:v>
                </c:pt>
              </c:strCache>
            </c:strRef>
          </c:tx>
          <c:spPr>
            <a:solidFill>
              <a:schemeClr val="accent1">
                <a:lumMod val="8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Hoja2!$C$80:$J$80</c:f>
              <c:numCache>
                <c:formatCode>0.00%</c:formatCode>
                <c:ptCount val="8"/>
                <c:pt idx="0">
                  <c:v>6.1547616578894529E-3</c:v>
                </c:pt>
                <c:pt idx="1">
                  <c:v>6.6606308715880247E-3</c:v>
                </c:pt>
                <c:pt idx="2">
                  <c:v>2.594086846759696E-4</c:v>
                </c:pt>
                <c:pt idx="3">
                  <c:v>8.7369732368633365E-3</c:v>
                </c:pt>
                <c:pt idx="4">
                  <c:v>4.8704831925370194E-3</c:v>
                </c:pt>
                <c:pt idx="5">
                  <c:v>1.2929345050055885E-2</c:v>
                </c:pt>
                <c:pt idx="6">
                  <c:v>3.5864729627661865E-3</c:v>
                </c:pt>
                <c:pt idx="7">
                  <c:v>8.8549516270700433E-3</c:v>
                </c:pt>
              </c:numCache>
            </c:numRef>
          </c:val>
        </c:ser>
        <c:ser>
          <c:idx val="19"/>
          <c:order val="19"/>
          <c:tx>
            <c:strRef>
              <c:f>Hoja2!$B$81</c:f>
              <c:strCache>
                <c:ptCount val="1"/>
                <c:pt idx="0">
                  <c:v>Sistema de energía eléctrica, renovables y alumbrado público </c:v>
                </c:pt>
              </c:strCache>
            </c:strRef>
          </c:tx>
          <c:spPr>
            <a:solidFill>
              <a:schemeClr val="accent2">
                <a:lumMod val="8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Hoja2!$C$81:$J$81</c:f>
              <c:numCache>
                <c:formatCode>0.00%</c:formatCode>
                <c:ptCount val="8"/>
                <c:pt idx="0">
                  <c:v>5.739308986502855E-2</c:v>
                </c:pt>
                <c:pt idx="1">
                  <c:v>1.1868162874446711E-2</c:v>
                </c:pt>
                <c:pt idx="2">
                  <c:v>3.9253649392867095E-2</c:v>
                </c:pt>
                <c:pt idx="3">
                  <c:v>3.1518498005599846E-2</c:v>
                </c:pt>
                <c:pt idx="4">
                  <c:v>2.6092979951268459E-2</c:v>
                </c:pt>
                <c:pt idx="5">
                  <c:v>2.3993540224871129E-2</c:v>
                </c:pt>
                <c:pt idx="6">
                  <c:v>4.0266826030775173E-2</c:v>
                </c:pt>
                <c:pt idx="7">
                  <c:v>1.9893493388583854E-2</c:v>
                </c:pt>
              </c:numCache>
            </c:numRef>
          </c:val>
        </c:ser>
        <c:ser>
          <c:idx val="20"/>
          <c:order val="20"/>
          <c:tx>
            <c:strRef>
              <c:f>Hoja2!$B$82</c:f>
              <c:strCache>
                <c:ptCount val="1"/>
                <c:pt idx="0">
                  <c:v>Teatros, centros culturales y bibliotecas</c:v>
                </c:pt>
              </c:strCache>
            </c:strRef>
          </c:tx>
          <c:spPr>
            <a:solidFill>
              <a:schemeClr val="accent3">
                <a:lumMod val="80000"/>
              </a:schemeClr>
            </a:solidFill>
            <a:ln>
              <a:noFill/>
            </a:ln>
            <a:effectLst/>
          </c:spPr>
          <c:invertIfNegative val="0"/>
          <c:cat>
            <c:multiLvlStrRef>
              <c:f>Hoja2!$C$60:$J$61</c:f>
              <c:multiLvlStrCache>
                <c:ptCount val="8"/>
                <c:lvl>
                  <c:pt idx="0">
                    <c:v>EMERGENCIA</c:v>
                  </c:pt>
                  <c:pt idx="1">
                    <c:v>TRADICIONAL</c:v>
                  </c:pt>
                  <c:pt idx="2">
                    <c:v>EMERGENCIA</c:v>
                  </c:pt>
                  <c:pt idx="3">
                    <c:v>TRADICIONAL</c:v>
                  </c:pt>
                  <c:pt idx="4">
                    <c:v>EMERGENCIA</c:v>
                  </c:pt>
                  <c:pt idx="5">
                    <c:v>TRADICIONAL</c:v>
                  </c:pt>
                  <c:pt idx="6">
                    <c:v>EMERGENCIA</c:v>
                  </c:pt>
                  <c:pt idx="7">
                    <c:v>TRADICIONAL</c:v>
                  </c:pt>
                </c:lvl>
                <c:lvl>
                  <c:pt idx="0">
                    <c:v>2011</c:v>
                  </c:pt>
                  <c:pt idx="2">
                    <c:v>2012</c:v>
                  </c:pt>
                  <c:pt idx="4">
                    <c:v>2013</c:v>
                  </c:pt>
                  <c:pt idx="6">
                    <c:v>ACUMULADO</c:v>
                  </c:pt>
                </c:lvl>
              </c:multiLvlStrCache>
            </c:multiLvlStrRef>
          </c:cat>
          <c:val>
            <c:numRef>
              <c:f>Hoja2!$C$82:$J$82</c:f>
              <c:numCache>
                <c:formatCode>0.00%</c:formatCode>
                <c:ptCount val="8"/>
                <c:pt idx="0">
                  <c:v>4.9885544320764337E-3</c:v>
                </c:pt>
                <c:pt idx="1">
                  <c:v>1.1731350713693377E-2</c:v>
                </c:pt>
                <c:pt idx="2">
                  <c:v>8.5009145094450157E-3</c:v>
                </c:pt>
                <c:pt idx="3">
                  <c:v>7.7498984667295819E-3</c:v>
                </c:pt>
                <c:pt idx="4">
                  <c:v>4.2383554533205071E-3</c:v>
                </c:pt>
                <c:pt idx="5">
                  <c:v>0</c:v>
                </c:pt>
                <c:pt idx="6">
                  <c:v>6.0076153317906705E-3</c:v>
                </c:pt>
                <c:pt idx="7">
                  <c:v>7.601713053182484E-3</c:v>
                </c:pt>
              </c:numCache>
            </c:numRef>
          </c:val>
        </c:ser>
        <c:dLbls>
          <c:showLegendKey val="0"/>
          <c:showVal val="0"/>
          <c:showCatName val="0"/>
          <c:showSerName val="0"/>
          <c:showPercent val="0"/>
          <c:showBubbleSize val="0"/>
        </c:dLbls>
        <c:gapWidth val="150"/>
        <c:overlap val="100"/>
        <c:axId val="482372456"/>
        <c:axId val="482372848"/>
      </c:barChart>
      <c:catAx>
        <c:axId val="48237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482372848"/>
        <c:crosses val="autoZero"/>
        <c:auto val="1"/>
        <c:lblAlgn val="ctr"/>
        <c:lblOffset val="100"/>
        <c:noMultiLvlLbl val="0"/>
      </c:catAx>
      <c:valAx>
        <c:axId val="482372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482372456"/>
        <c:crosses val="autoZero"/>
        <c:crossBetween val="between"/>
      </c:valAx>
      <c:spPr>
        <a:noFill/>
        <a:ln>
          <a:noFill/>
        </a:ln>
        <a:effectLst/>
      </c:spPr>
    </c:plotArea>
    <c:legend>
      <c:legendPos val="b"/>
      <c:layout>
        <c:manualLayout>
          <c:xMode val="edge"/>
          <c:yMode val="edge"/>
          <c:x val="3.9528281140764031E-2"/>
          <c:y val="0.75110973746206255"/>
          <c:w val="0.94208663955023653"/>
          <c:h val="0.245698069288888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22365305151515E-2"/>
          <c:y val="5.3962740764130109E-2"/>
          <c:w val="0.89598512507728789"/>
          <c:h val="0.62705540185855146"/>
        </c:manualLayout>
      </c:layout>
      <c:barChart>
        <c:barDir val="col"/>
        <c:grouping val="percentStacked"/>
        <c:varyColors val="0"/>
        <c:ser>
          <c:idx val="0"/>
          <c:order val="0"/>
          <c:tx>
            <c:strRef>
              <c:f>[Libro1.xlsx]Hoja1!$B$64</c:f>
              <c:strCache>
                <c:ptCount val="1"/>
                <c:pt idx="0">
                  <c:v>ALUMBRADO</c:v>
                </c:pt>
              </c:strCache>
            </c:strRef>
          </c:tx>
          <c:spPr>
            <a:solidFill>
              <a:schemeClr val="accent1"/>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[Libro1.xlsx]Hoja1!$C$64:$H$64</c:f>
              <c:numCache>
                <c:formatCode>0.00%</c:formatCode>
                <c:ptCount val="6"/>
                <c:pt idx="0">
                  <c:v>1.9611703692515369E-2</c:v>
                </c:pt>
                <c:pt idx="1">
                  <c:v>2.0770739684428871E-2</c:v>
                </c:pt>
                <c:pt idx="2">
                  <c:v>6.7371111364046124E-2</c:v>
                </c:pt>
                <c:pt idx="3">
                  <c:v>2.2117575238054094E-2</c:v>
                </c:pt>
                <c:pt idx="4">
                  <c:v>3.5094468455031891E-2</c:v>
                </c:pt>
                <c:pt idx="5">
                  <c:v>2.1573735344235234E-2</c:v>
                </c:pt>
              </c:numCache>
            </c:numRef>
          </c:val>
        </c:ser>
        <c:ser>
          <c:idx val="1"/>
          <c:order val="1"/>
          <c:tx>
            <c:strRef>
              <c:f>[Libro1.xlsx]Hoja1!$B$65</c:f>
              <c:strCache>
                <c:ptCount val="1"/>
                <c:pt idx="0">
                  <c:v>ÁREAS VERDES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[Libro1.xlsx]Hoja1!$C$65:$H$65</c:f>
              <c:numCache>
                <c:formatCode>0.00%</c:formatCode>
                <c:ptCount val="6"/>
                <c:pt idx="0">
                  <c:v>0.15495928608719611</c:v>
                </c:pt>
                <c:pt idx="1">
                  <c:v>0.19991859677076043</c:v>
                </c:pt>
                <c:pt idx="2">
                  <c:v>0.15648304723740478</c:v>
                </c:pt>
                <c:pt idx="3">
                  <c:v>0.18650830274144833</c:v>
                </c:pt>
                <c:pt idx="4">
                  <c:v>0.15261152272864731</c:v>
                </c:pt>
                <c:pt idx="5">
                  <c:v>0.19192325697350018</c:v>
                </c:pt>
              </c:numCache>
            </c:numRef>
          </c:val>
        </c:ser>
        <c:ser>
          <c:idx val="2"/>
          <c:order val="2"/>
          <c:tx>
            <c:strRef>
              <c:f>[Libro1.xlsx]Hoja1!$B$66</c:f>
              <c:strCache>
                <c:ptCount val="1"/>
                <c:pt idx="0">
                  <c:v>CAMINOS</c:v>
                </c:pt>
              </c:strCache>
            </c:strRef>
          </c:tx>
          <c:spPr>
            <a:solidFill>
              <a:schemeClr val="accent3"/>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[Libro1.xlsx]Hoja1!$C$66:$H$66</c:f>
              <c:numCache>
                <c:formatCode>0.00%</c:formatCode>
                <c:ptCount val="6"/>
                <c:pt idx="0">
                  <c:v>6.2126022875765774E-3</c:v>
                </c:pt>
                <c:pt idx="1">
                  <c:v>1.3687014639796762E-3</c:v>
                </c:pt>
                <c:pt idx="2">
                  <c:v>7.0518450908932037E-3</c:v>
                </c:pt>
                <c:pt idx="3">
                  <c:v>2.6762057164296915E-2</c:v>
                </c:pt>
                <c:pt idx="4">
                  <c:v>6.3750480980786766E-3</c:v>
                </c:pt>
                <c:pt idx="5">
                  <c:v>1.6508452089354021E-2</c:v>
                </c:pt>
              </c:numCache>
            </c:numRef>
          </c:val>
        </c:ser>
        <c:ser>
          <c:idx val="3"/>
          <c:order val="3"/>
          <c:tx>
            <c:strRef>
              <c:f>[Libro1.xlsx]Hoja1!$B$67</c:f>
              <c:strCache>
                <c:ptCount val="1"/>
                <c:pt idx="0">
                  <c:v>CEMENTERIOS</c:v>
                </c:pt>
              </c:strCache>
            </c:strRef>
          </c:tx>
          <c:spPr>
            <a:solidFill>
              <a:schemeClr val="accent4"/>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[Libro1.xlsx]Hoja1!$C$67:$H$67</c:f>
              <c:numCache>
                <c:formatCode>0.00%</c:formatCode>
                <c:ptCount val="6"/>
                <c:pt idx="0">
                  <c:v>1.442780852959938E-2</c:v>
                </c:pt>
                <c:pt idx="1">
                  <c:v>1.2770095814079575E-2</c:v>
                </c:pt>
                <c:pt idx="2">
                  <c:v>1.0747303598477033E-2</c:v>
                </c:pt>
                <c:pt idx="3">
                  <c:v>8.4207248941530009E-3</c:v>
                </c:pt>
                <c:pt idx="4">
                  <c:v>1.2948902939173649E-2</c:v>
                </c:pt>
                <c:pt idx="5">
                  <c:v>1.0176961142078713E-2</c:v>
                </c:pt>
              </c:numCache>
            </c:numRef>
          </c:val>
        </c:ser>
        <c:ser>
          <c:idx val="4"/>
          <c:order val="4"/>
          <c:tx>
            <c:strRef>
              <c:f>[Libro1.xlsx]Hoja1!$B$68</c:f>
              <c:strCache>
                <c:ptCount val="1"/>
                <c:pt idx="0">
                  <c:v>CONSTRUCCIÓN CALLES/ACERAS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[Libro1.xlsx]Hoja1!$C$68:$H$68</c:f>
              <c:numCache>
                <c:formatCode>0.00%</c:formatCode>
                <c:ptCount val="6"/>
                <c:pt idx="0">
                  <c:v>0.10034354511264496</c:v>
                </c:pt>
                <c:pt idx="1">
                  <c:v>0.2538508454676322</c:v>
                </c:pt>
                <c:pt idx="2">
                  <c:v>0.18398160311677345</c:v>
                </c:pt>
                <c:pt idx="3">
                  <c:v>0.31340405911055069</c:v>
                </c:pt>
                <c:pt idx="4">
                  <c:v>0.12708024769226878</c:v>
                </c:pt>
                <c:pt idx="5">
                  <c:v>0.28935701543327264</c:v>
                </c:pt>
              </c:numCache>
            </c:numRef>
          </c:val>
        </c:ser>
        <c:ser>
          <c:idx val="5"/>
          <c:order val="5"/>
          <c:tx>
            <c:strRef>
              <c:f>[Libro1.xlsx]Hoja1!$B$69</c:f>
              <c:strCache>
                <c:ptCount val="1"/>
                <c:pt idx="0">
                  <c:v>ESPACIO ACTIVO</c:v>
                </c:pt>
              </c:strCache>
            </c:strRef>
          </c:tx>
          <c:spPr>
            <a:solidFill>
              <a:schemeClr val="accent6"/>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[Libro1.xlsx]Hoja1!$C$69:$H$69</c:f>
              <c:numCache>
                <c:formatCode>0.00%</c:formatCode>
                <c:ptCount val="6"/>
                <c:pt idx="0">
                  <c:v>2.210868717279758E-2</c:v>
                </c:pt>
                <c:pt idx="1">
                  <c:v>0</c:v>
                </c:pt>
                <c:pt idx="2">
                  <c:v>0</c:v>
                </c:pt>
                <c:pt idx="3">
                  <c:v>0</c:v>
                </c:pt>
                <c:pt idx="4">
                  <c:v>1.4412377342056993E-2</c:v>
                </c:pt>
                <c:pt idx="5">
                  <c:v>0</c:v>
                </c:pt>
              </c:numCache>
            </c:numRef>
          </c:val>
        </c:ser>
        <c:ser>
          <c:idx val="6"/>
          <c:order val="6"/>
          <c:tx>
            <c:strRef>
              <c:f>[Libro1.xlsx]Hoja1!$B$70</c:f>
              <c:strCache>
                <c:ptCount val="1"/>
                <c:pt idx="0">
                  <c:v>INFRAESTRUCTURA DE SALUD</c:v>
                </c:pt>
              </c:strCache>
            </c:strRef>
          </c:tx>
          <c:spPr>
            <a:solidFill>
              <a:schemeClr val="accent1">
                <a:lumMod val="6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[Libro1.xlsx]Hoja1!$C$70:$H$70</c:f>
              <c:numCache>
                <c:formatCode>0.00%</c:formatCode>
                <c:ptCount val="6"/>
                <c:pt idx="0">
                  <c:v>2.2901676625594409E-2</c:v>
                </c:pt>
                <c:pt idx="1">
                  <c:v>2.6438867737151586E-3</c:v>
                </c:pt>
                <c:pt idx="2">
                  <c:v>1.8680550251928652E-2</c:v>
                </c:pt>
                <c:pt idx="3">
                  <c:v>2.7794664823874728E-3</c:v>
                </c:pt>
                <c:pt idx="4">
                  <c:v>2.1088657206085305E-2</c:v>
                </c:pt>
                <c:pt idx="5">
                  <c:v>2.7247206344850486E-3</c:v>
                </c:pt>
              </c:numCache>
            </c:numRef>
          </c:val>
        </c:ser>
        <c:ser>
          <c:idx val="7"/>
          <c:order val="7"/>
          <c:tx>
            <c:strRef>
              <c:f>[Libro1.xlsx]Hoja1!$B$71</c:f>
              <c:strCache>
                <c:ptCount val="1"/>
                <c:pt idx="0">
                  <c:v>INFRAESTRUCTURA DEPORTIVA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[Libro1.xlsx]Hoja1!$C$71:$H$71</c:f>
              <c:numCache>
                <c:formatCode>0.00%</c:formatCode>
                <c:ptCount val="6"/>
                <c:pt idx="0">
                  <c:v>0.20019635625040511</c:v>
                </c:pt>
                <c:pt idx="1">
                  <c:v>0.13607636980886789</c:v>
                </c:pt>
                <c:pt idx="2">
                  <c:v>0.17936397166577026</c:v>
                </c:pt>
                <c:pt idx="3">
                  <c:v>8.839866826720881E-2</c:v>
                </c:pt>
                <c:pt idx="4">
                  <c:v>0.19003523912956188</c:v>
                </c:pt>
                <c:pt idx="5">
                  <c:v>0.10765048863544241</c:v>
                </c:pt>
              </c:numCache>
            </c:numRef>
          </c:val>
        </c:ser>
        <c:ser>
          <c:idx val="8"/>
          <c:order val="8"/>
          <c:tx>
            <c:strRef>
              <c:f>[Libro1.xlsx]Hoja1!$B$72</c:f>
              <c:strCache>
                <c:ptCount val="1"/>
                <c:pt idx="0">
                  <c:v>INFRAESTRUCTURA ESCUELAS Y LICEOS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[Libro1.xlsx]Hoja1!$C$72:$H$72</c:f>
              <c:numCache>
                <c:formatCode>0.00%</c:formatCode>
                <c:ptCount val="6"/>
                <c:pt idx="0">
                  <c:v>6.4348110804592837E-2</c:v>
                </c:pt>
                <c:pt idx="1">
                  <c:v>4.4896362339905481E-2</c:v>
                </c:pt>
                <c:pt idx="2">
                  <c:v>-1.5652794868289475E-4</c:v>
                </c:pt>
                <c:pt idx="3">
                  <c:v>2.663504812959501E-2</c:v>
                </c:pt>
                <c:pt idx="4">
                  <c:v>5.7391805766783724E-2</c:v>
                </c:pt>
                <c:pt idx="5">
                  <c:v>3.4008799998853742E-2</c:v>
                </c:pt>
              </c:numCache>
            </c:numRef>
          </c:val>
        </c:ser>
        <c:ser>
          <c:idx val="9"/>
          <c:order val="9"/>
          <c:tx>
            <c:strRef>
              <c:f>[Libro1.xlsx]Hoja1!$B$73</c:f>
              <c:strCache>
                <c:ptCount val="1"/>
                <c:pt idx="0">
                  <c:v>OBRAS CONSISTORIALES/MUNICIPALES</c:v>
                </c:pt>
              </c:strCache>
            </c:strRef>
          </c:tx>
          <c:spPr>
            <a:solidFill>
              <a:schemeClr val="accent4">
                <a:lumMod val="6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[Libro1.xlsx]Hoja1!$C$73:$H$73</c:f>
              <c:numCache>
                <c:formatCode>0.00%</c:formatCode>
                <c:ptCount val="6"/>
                <c:pt idx="0">
                  <c:v>5.4884126165471517E-2</c:v>
                </c:pt>
                <c:pt idx="1">
                  <c:v>4.98409834343988E-2</c:v>
                </c:pt>
                <c:pt idx="2">
                  <c:v>4.8251834323533783E-2</c:v>
                </c:pt>
                <c:pt idx="3">
                  <c:v>4.3341945578667718E-2</c:v>
                </c:pt>
                <c:pt idx="4">
                  <c:v>5.1687843270167649E-2</c:v>
                </c:pt>
                <c:pt idx="5">
                  <c:v>4.5966197699033901E-2</c:v>
                </c:pt>
              </c:numCache>
            </c:numRef>
          </c:val>
        </c:ser>
        <c:ser>
          <c:idx val="10"/>
          <c:order val="10"/>
          <c:tx>
            <c:strRef>
              <c:f>[Libro1.xlsx]Hoja1!$B$74</c:f>
              <c:strCache>
                <c:ptCount val="1"/>
                <c:pt idx="0">
                  <c:v>OTRAS OBRAS URBANAS/RURALES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[Libro1.xlsx]Hoja1!$C$74:$H$74</c:f>
              <c:numCache>
                <c:formatCode>0.00%</c:formatCode>
                <c:ptCount val="6"/>
                <c:pt idx="0">
                  <c:v>0.11204923579193239</c:v>
                </c:pt>
                <c:pt idx="1">
                  <c:v>0.15946524228255607</c:v>
                </c:pt>
                <c:pt idx="2">
                  <c:v>7.2630800793195643E-2</c:v>
                </c:pt>
                <c:pt idx="3">
                  <c:v>0.19490680463460655</c:v>
                </c:pt>
                <c:pt idx="4">
                  <c:v>9.8219505885397018E-2</c:v>
                </c:pt>
                <c:pt idx="5">
                  <c:v>0.18059582549952713</c:v>
                </c:pt>
              </c:numCache>
            </c:numRef>
          </c:val>
        </c:ser>
        <c:ser>
          <c:idx val="11"/>
          <c:order val="11"/>
          <c:tx>
            <c:strRef>
              <c:f>[Libro1.xlsx]Hoja1!$B$75</c:f>
              <c:strCache>
                <c:ptCount val="1"/>
                <c:pt idx="0">
                  <c:v>PASARELAS</c:v>
                </c:pt>
              </c:strCache>
            </c:strRef>
          </c:tx>
          <c:spPr>
            <a:solidFill>
              <a:schemeClr val="accent6">
                <a:lumMod val="6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[Libro1.xlsx]Hoja1!$C$75:$H$75</c:f>
              <c:numCache>
                <c:formatCode>0.00%</c:formatCode>
                <c:ptCount val="6"/>
                <c:pt idx="0">
                  <c:v>9.8111872694556287E-3</c:v>
                </c:pt>
                <c:pt idx="1">
                  <c:v>2.6613163988187028E-3</c:v>
                </c:pt>
                <c:pt idx="2">
                  <c:v>4.5689426295384217E-3</c:v>
                </c:pt>
                <c:pt idx="3">
                  <c:v>2.0885451246679633E-3</c:v>
                </c:pt>
                <c:pt idx="4">
                  <c:v>7.9022596274204038E-3</c:v>
                </c:pt>
                <c:pt idx="5">
                  <c:v>2.319824933162914E-3</c:v>
                </c:pt>
              </c:numCache>
            </c:numRef>
          </c:val>
        </c:ser>
        <c:ser>
          <c:idx val="12"/>
          <c:order val="12"/>
          <c:tx>
            <c:strRef>
              <c:f>[Libro1.xlsx]Hoja1!$B$76</c:f>
              <c:strCache>
                <c:ptCount val="1"/>
                <c:pt idx="0">
                  <c:v>PLAZA ACTIVA</c:v>
                </c:pt>
              </c:strCache>
            </c:strRef>
          </c:tx>
          <c:spPr>
            <a:solidFill>
              <a:schemeClr val="accent1">
                <a:lumMod val="80000"/>
                <a:lumOff val="2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[Libro1.xlsx]Hoja1!$C$76:$H$76</c:f>
              <c:numCache>
                <c:formatCode>0.00%</c:formatCode>
                <c:ptCount val="6"/>
                <c:pt idx="0">
                  <c:v>5.3188039009084531E-2</c:v>
                </c:pt>
                <c:pt idx="1">
                  <c:v>1.9999012792962255E-2</c:v>
                </c:pt>
                <c:pt idx="2">
                  <c:v>2.5775595701432057E-2</c:v>
                </c:pt>
                <c:pt idx="3">
                  <c:v>9.6976870247451954E-3</c:v>
                </c:pt>
                <c:pt idx="4">
                  <c:v>4.317133316531676E-2</c:v>
                </c:pt>
                <c:pt idx="5">
                  <c:v>1.3857268271988972E-2</c:v>
                </c:pt>
              </c:numCache>
            </c:numRef>
          </c:val>
        </c:ser>
        <c:ser>
          <c:idx val="13"/>
          <c:order val="13"/>
          <c:tx>
            <c:strRef>
              <c:f>[Libro1.xlsx]Hoja1!$B$77</c:f>
              <c:strCache>
                <c:ptCount val="1"/>
                <c:pt idx="0">
                  <c:v>RIEGO</c:v>
                </c:pt>
              </c:strCache>
            </c:strRef>
          </c:tx>
          <c:spPr>
            <a:solidFill>
              <a:schemeClr val="accent2">
                <a:lumMod val="80000"/>
                <a:lumOff val="2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[Libro1.xlsx]Hoja1!$C$77:$H$77</c:f>
              <c:numCache>
                <c:formatCode>0.00%</c:formatCode>
                <c:ptCount val="6"/>
                <c:pt idx="0">
                  <c:v>0</c:v>
                </c:pt>
                <c:pt idx="1">
                  <c:v>2.1002765440570068E-3</c:v>
                </c:pt>
                <c:pt idx="2">
                  <c:v>0</c:v>
                </c:pt>
                <c:pt idx="3">
                  <c:v>0</c:v>
                </c:pt>
                <c:pt idx="4">
                  <c:v>0</c:v>
                </c:pt>
                <c:pt idx="5">
                  <c:v>8.4807248341176923E-4</c:v>
                </c:pt>
              </c:numCache>
            </c:numRef>
          </c:val>
        </c:ser>
        <c:ser>
          <c:idx val="14"/>
          <c:order val="14"/>
          <c:tx>
            <c:strRef>
              <c:f>[Libro1.xlsx]Hoja1!$B$78</c:f>
              <c:strCache>
                <c:ptCount val="1"/>
                <c:pt idx="0">
                  <c:v>SEDES SOCIALES</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[Libro1.xlsx]Hoja1!$C$78:$H$78</c:f>
              <c:numCache>
                <c:formatCode>0.00%</c:formatCode>
                <c:ptCount val="6"/>
                <c:pt idx="0">
                  <c:v>0.14112583533171599</c:v>
                </c:pt>
                <c:pt idx="1">
                  <c:v>6.2444038193572873E-2</c:v>
                </c:pt>
                <c:pt idx="2">
                  <c:v>0.19414386306781337</c:v>
                </c:pt>
                <c:pt idx="3">
                  <c:v>4.4465834751211242E-2</c:v>
                </c:pt>
                <c:pt idx="4">
                  <c:v>0.15601117059143846</c:v>
                </c:pt>
                <c:pt idx="5">
                  <c:v>5.1725269078461346E-2</c:v>
                </c:pt>
              </c:numCache>
            </c:numRef>
          </c:val>
        </c:ser>
        <c:ser>
          <c:idx val="15"/>
          <c:order val="15"/>
          <c:tx>
            <c:strRef>
              <c:f>[Libro1.xlsx]Hoja1!$B$79</c:f>
              <c:strCache>
                <c:ptCount val="1"/>
                <c:pt idx="0">
                  <c:v>SERVICIOS BÁSICOS</c:v>
                </c:pt>
              </c:strCache>
            </c:strRef>
          </c:tx>
          <c:spPr>
            <a:solidFill>
              <a:schemeClr val="accent4">
                <a:lumMod val="80000"/>
                <a:lumOff val="2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[Libro1.xlsx]Hoja1!$C$79:$H$79</c:f>
              <c:numCache>
                <c:formatCode>0.00%</c:formatCode>
                <c:ptCount val="6"/>
                <c:pt idx="0">
                  <c:v>2.0099630710021577E-2</c:v>
                </c:pt>
                <c:pt idx="1">
                  <c:v>2.242866883745484E-2</c:v>
                </c:pt>
                <c:pt idx="2">
                  <c:v>3.0060736805566965E-2</c:v>
                </c:pt>
                <c:pt idx="3">
                  <c:v>1.496756811048525E-2</c:v>
                </c:pt>
                <c:pt idx="4">
                  <c:v>2.3192000541143901E-2</c:v>
                </c:pt>
                <c:pt idx="5">
                  <c:v>1.7980292430247357E-2</c:v>
                </c:pt>
              </c:numCache>
            </c:numRef>
          </c:val>
        </c:ser>
        <c:ser>
          <c:idx val="16"/>
          <c:order val="16"/>
          <c:tx>
            <c:strRef>
              <c:f>[Libro1.xlsx]Hoja1!$B$80</c:f>
              <c:strCache>
                <c:ptCount val="1"/>
                <c:pt idx="0">
                  <c:v>VARIOS</c:v>
                </c:pt>
              </c:strCache>
            </c:strRef>
          </c:tx>
          <c:spPr>
            <a:solidFill>
              <a:schemeClr val="accent5">
                <a:lumMod val="80000"/>
                <a:lumOff val="2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[Libro1.xlsx]Hoja1!$C$80:$H$80</c:f>
              <c:numCache>
                <c:formatCode>0.00%</c:formatCode>
                <c:ptCount val="6"/>
                <c:pt idx="0">
                  <c:v>2.387786425663081E-3</c:v>
                </c:pt>
                <c:pt idx="1">
                  <c:v>8.7648633928101866E-3</c:v>
                </c:pt>
                <c:pt idx="2">
                  <c:v>1.0453223023091651E-3</c:v>
                </c:pt>
                <c:pt idx="3">
                  <c:v>1.5505712747921742E-2</c:v>
                </c:pt>
                <c:pt idx="4">
                  <c:v>1.9012312296988899E-3</c:v>
                </c:pt>
                <c:pt idx="5">
                  <c:v>1.2783819352944649E-2</c:v>
                </c:pt>
              </c:numCache>
            </c:numRef>
          </c:val>
        </c:ser>
        <c:ser>
          <c:idx val="17"/>
          <c:order val="17"/>
          <c:tx>
            <c:strRef>
              <c:f>[Libro1.xlsx]Hoja1!$B$81</c:f>
              <c:strCache>
                <c:ptCount val="1"/>
                <c:pt idx="0">
                  <c:v>VERTEDEROS</c:v>
                </c:pt>
              </c:strCache>
            </c:strRef>
          </c:tx>
          <c:spPr>
            <a:solidFill>
              <a:schemeClr val="accent6">
                <a:lumMod val="80000"/>
                <a:lumOff val="20000"/>
              </a:schemeClr>
            </a:solidFill>
            <a:ln>
              <a:noFill/>
            </a:ln>
            <a:effectLst/>
          </c:spPr>
          <c:invertIfNegative val="0"/>
          <c:cat>
            <c:multiLvlStrRef>
              <c:f>[Libro1.xlsx]Hoja1!$C$62:$H$63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[Libro1.xlsx]Hoja1!$C$81:$H$81</c:f>
              <c:numCache>
                <c:formatCode>0.00%</c:formatCode>
                <c:ptCount val="6"/>
                <c:pt idx="0">
                  <c:v>1.3443827337329675E-3</c:v>
                </c:pt>
                <c:pt idx="1">
                  <c:v>0</c:v>
                </c:pt>
                <c:pt idx="2">
                  <c:v>0</c:v>
                </c:pt>
                <c:pt idx="3">
                  <c:v>0</c:v>
                </c:pt>
                <c:pt idx="4">
                  <c:v>8.763863317287102E-4</c:v>
                </c:pt>
                <c:pt idx="5">
                  <c:v>0</c:v>
                </c:pt>
              </c:numCache>
            </c:numRef>
          </c:val>
        </c:ser>
        <c:dLbls>
          <c:showLegendKey val="0"/>
          <c:showVal val="0"/>
          <c:showCatName val="0"/>
          <c:showSerName val="0"/>
          <c:showPercent val="0"/>
          <c:showBubbleSize val="0"/>
        </c:dLbls>
        <c:gapWidth val="150"/>
        <c:overlap val="100"/>
        <c:axId val="482373632"/>
        <c:axId val="482374024"/>
      </c:barChart>
      <c:catAx>
        <c:axId val="4823736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482374024"/>
        <c:crosses val="autoZero"/>
        <c:auto val="1"/>
        <c:lblAlgn val="ctr"/>
        <c:lblOffset val="100"/>
        <c:noMultiLvlLbl val="0"/>
      </c:catAx>
      <c:valAx>
        <c:axId val="4823740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482373632"/>
        <c:crosses val="autoZero"/>
        <c:crossBetween val="between"/>
      </c:valAx>
      <c:spPr>
        <a:noFill/>
        <a:ln>
          <a:noFill/>
        </a:ln>
        <a:effectLst/>
      </c:spPr>
    </c:plotArea>
    <c:legend>
      <c:legendPos val="b"/>
      <c:layout>
        <c:manualLayout>
          <c:xMode val="edge"/>
          <c:yMode val="edge"/>
          <c:x val="3.7566307266581486E-2"/>
          <c:y val="0.76790051938171444"/>
          <c:w val="0.9429710288250629"/>
          <c:h val="0.2131541064471456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emergenciatradicional!$A$67</c:f>
              <c:strCache>
                <c:ptCount val="1"/>
                <c:pt idx="0">
                  <c:v>FIE/EMERGENCIA</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emergenciatradicional!$B$62:$E$62</c:f>
              <c:strCache>
                <c:ptCount val="4"/>
                <c:pt idx="0">
                  <c:v>2011</c:v>
                </c:pt>
                <c:pt idx="1">
                  <c:v>2012</c:v>
                </c:pt>
                <c:pt idx="2">
                  <c:v>2013</c:v>
                </c:pt>
                <c:pt idx="3">
                  <c:v>TRIENIO</c:v>
                </c:pt>
              </c:strCache>
            </c:strRef>
          </c:cat>
          <c:val>
            <c:numRef>
              <c:f>emergenciatradicional!$B$67:$E$67</c:f>
              <c:numCache>
                <c:formatCode>0.0%</c:formatCode>
                <c:ptCount val="4"/>
                <c:pt idx="0">
                  <c:v>0.32325755552267271</c:v>
                </c:pt>
                <c:pt idx="1">
                  <c:v>0.31374085680229624</c:v>
                </c:pt>
                <c:pt idx="2">
                  <c:v>0.16450291021268917</c:v>
                </c:pt>
                <c:pt idx="3" formatCode="0.00%">
                  <c:v>0.27301706071088172</c:v>
                </c:pt>
              </c:numCache>
            </c:numRef>
          </c:val>
        </c:ser>
        <c:dLbls>
          <c:dLblPos val="ctr"/>
          <c:showLegendKey val="0"/>
          <c:showVal val="1"/>
          <c:showCatName val="0"/>
          <c:showSerName val="0"/>
          <c:showPercent val="0"/>
          <c:showBubbleSize val="0"/>
        </c:dLbls>
        <c:gapWidth val="150"/>
        <c:axId val="482374808"/>
        <c:axId val="482375200"/>
      </c:barChart>
      <c:catAx>
        <c:axId val="482374808"/>
        <c:scaling>
          <c:orientation val="minMax"/>
        </c:scaling>
        <c:delete val="0"/>
        <c:axPos val="b"/>
        <c:numFmt formatCode="General" sourceLinked="0"/>
        <c:majorTickMark val="out"/>
        <c:minorTickMark val="none"/>
        <c:tickLblPos val="nextTo"/>
        <c:crossAx val="482375200"/>
        <c:crosses val="autoZero"/>
        <c:auto val="1"/>
        <c:lblAlgn val="ctr"/>
        <c:lblOffset val="100"/>
        <c:noMultiLvlLbl val="0"/>
      </c:catAx>
      <c:valAx>
        <c:axId val="482375200"/>
        <c:scaling>
          <c:orientation val="minMax"/>
        </c:scaling>
        <c:delete val="0"/>
        <c:axPos val="l"/>
        <c:majorGridlines/>
        <c:numFmt formatCode="0.0%" sourceLinked="1"/>
        <c:majorTickMark val="out"/>
        <c:minorTickMark val="none"/>
        <c:tickLblPos val="nextTo"/>
        <c:crossAx val="48237480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Hoja2!$B$7</c:f>
              <c:strCache>
                <c:ptCount val="1"/>
                <c:pt idx="0">
                  <c:v>Administración Directa</c:v>
                </c:pt>
              </c:strCache>
            </c:strRef>
          </c:tx>
          <c:invertIfNegative val="0"/>
          <c:dLbls>
            <c:dLbl>
              <c:idx val="3"/>
              <c:layout>
                <c:manualLayout>
                  <c:x val="0"/>
                  <c:y val="0.2313570926373854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719838060189672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Hoja2!$C$5:$J$6</c:f>
              <c:multiLvlStrCache>
                <c:ptCount val="8"/>
                <c:lvl>
                  <c:pt idx="0">
                    <c:v>TRADICIONAL</c:v>
                  </c:pt>
                  <c:pt idx="1">
                    <c:v>EMERGENCIA</c:v>
                  </c:pt>
                  <c:pt idx="2">
                    <c:v>TRADICIONAL</c:v>
                  </c:pt>
                  <c:pt idx="3">
                    <c:v>EMERGENCIA</c:v>
                  </c:pt>
                  <c:pt idx="4">
                    <c:v>TRADICIONAL</c:v>
                  </c:pt>
                  <c:pt idx="5">
                    <c:v>EMERGENCIA</c:v>
                  </c:pt>
                  <c:pt idx="6">
                    <c:v>TRADICIONAL</c:v>
                  </c:pt>
                  <c:pt idx="7">
                    <c:v>EMERGENCIA</c:v>
                  </c:pt>
                </c:lvl>
                <c:lvl>
                  <c:pt idx="0">
                    <c:v>AÑO 2011</c:v>
                  </c:pt>
                  <c:pt idx="2">
                    <c:v>AÑO 2012</c:v>
                  </c:pt>
                  <c:pt idx="4">
                    <c:v>AÑO 2013</c:v>
                  </c:pt>
                  <c:pt idx="6">
                    <c:v>TRIENIO</c:v>
                  </c:pt>
                </c:lvl>
              </c:multiLvlStrCache>
            </c:multiLvlStrRef>
          </c:cat>
          <c:val>
            <c:numRef>
              <c:f>Hoja2!$C$7:$J$7</c:f>
              <c:numCache>
                <c:formatCode>0.0</c:formatCode>
                <c:ptCount val="8"/>
                <c:pt idx="0">
                  <c:v>15.352941176470589</c:v>
                </c:pt>
                <c:pt idx="1">
                  <c:v>13.741935483870968</c:v>
                </c:pt>
                <c:pt idx="2">
                  <c:v>15.301075268817204</c:v>
                </c:pt>
                <c:pt idx="3">
                  <c:v>34.933823529411768</c:v>
                </c:pt>
                <c:pt idx="4">
                  <c:v>24.044692737430168</c:v>
                </c:pt>
                <c:pt idx="5">
                  <c:v>26.866666666666699</c:v>
                </c:pt>
                <c:pt idx="6">
                  <c:v>20.719723183391004</c:v>
                </c:pt>
                <c:pt idx="7">
                  <c:v>28.773480662983424</c:v>
                </c:pt>
              </c:numCache>
            </c:numRef>
          </c:val>
        </c:ser>
        <c:ser>
          <c:idx val="1"/>
          <c:order val="1"/>
          <c:tx>
            <c:strRef>
              <c:f>Hoja2!$B$8</c:f>
              <c:strCache>
                <c:ptCount val="1"/>
                <c:pt idx="0">
                  <c:v>Licitación y Contratación</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Hoja2!$C$5:$J$6</c:f>
              <c:multiLvlStrCache>
                <c:ptCount val="8"/>
                <c:lvl>
                  <c:pt idx="0">
                    <c:v>TRADICIONAL</c:v>
                  </c:pt>
                  <c:pt idx="1">
                    <c:v>EMERGENCIA</c:v>
                  </c:pt>
                  <c:pt idx="2">
                    <c:v>TRADICIONAL</c:v>
                  </c:pt>
                  <c:pt idx="3">
                    <c:v>EMERGENCIA</c:v>
                  </c:pt>
                  <c:pt idx="4">
                    <c:v>TRADICIONAL</c:v>
                  </c:pt>
                  <c:pt idx="5">
                    <c:v>EMERGENCIA</c:v>
                  </c:pt>
                  <c:pt idx="6">
                    <c:v>TRADICIONAL</c:v>
                  </c:pt>
                  <c:pt idx="7">
                    <c:v>EMERGENCIA</c:v>
                  </c:pt>
                </c:lvl>
                <c:lvl>
                  <c:pt idx="0">
                    <c:v>AÑO 2011</c:v>
                  </c:pt>
                  <c:pt idx="2">
                    <c:v>AÑO 2012</c:v>
                  </c:pt>
                  <c:pt idx="4">
                    <c:v>AÑO 2013</c:v>
                  </c:pt>
                  <c:pt idx="6">
                    <c:v>TRIENIO</c:v>
                  </c:pt>
                </c:lvl>
              </c:multiLvlStrCache>
            </c:multiLvlStrRef>
          </c:cat>
          <c:val>
            <c:numRef>
              <c:f>Hoja2!$C$8:$J$8</c:f>
              <c:numCache>
                <c:formatCode>0.0</c:formatCode>
                <c:ptCount val="8"/>
                <c:pt idx="0">
                  <c:v>10</c:v>
                </c:pt>
                <c:pt idx="1">
                  <c:v>10.542857142857143</c:v>
                </c:pt>
                <c:pt idx="2">
                  <c:v>9.0576923076923084</c:v>
                </c:pt>
                <c:pt idx="3">
                  <c:v>11.974712643678162</c:v>
                </c:pt>
                <c:pt idx="4">
                  <c:v>36.886666666666663</c:v>
                </c:pt>
                <c:pt idx="5">
                  <c:v>10.22713567839196</c:v>
                </c:pt>
                <c:pt idx="6">
                  <c:v>28.971428571428572</c:v>
                </c:pt>
                <c:pt idx="7">
                  <c:v>10.743658210947931</c:v>
                </c:pt>
              </c:numCache>
            </c:numRef>
          </c:val>
        </c:ser>
        <c:ser>
          <c:idx val="2"/>
          <c:order val="2"/>
          <c:tx>
            <c:strRef>
              <c:f>Hoja2!$B$9</c:f>
              <c:strCache>
                <c:ptCount val="1"/>
                <c:pt idx="0">
                  <c:v>No Definido</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Hoja2!$C$5:$J$6</c:f>
              <c:multiLvlStrCache>
                <c:ptCount val="8"/>
                <c:lvl>
                  <c:pt idx="0">
                    <c:v>TRADICIONAL</c:v>
                  </c:pt>
                  <c:pt idx="1">
                    <c:v>EMERGENCIA</c:v>
                  </c:pt>
                  <c:pt idx="2">
                    <c:v>TRADICIONAL</c:v>
                  </c:pt>
                  <c:pt idx="3">
                    <c:v>EMERGENCIA</c:v>
                  </c:pt>
                  <c:pt idx="4">
                    <c:v>TRADICIONAL</c:v>
                  </c:pt>
                  <c:pt idx="5">
                    <c:v>EMERGENCIA</c:v>
                  </c:pt>
                  <c:pt idx="6">
                    <c:v>TRADICIONAL</c:v>
                  </c:pt>
                  <c:pt idx="7">
                    <c:v>EMERGENCIA</c:v>
                  </c:pt>
                </c:lvl>
                <c:lvl>
                  <c:pt idx="0">
                    <c:v>AÑO 2011</c:v>
                  </c:pt>
                  <c:pt idx="2">
                    <c:v>AÑO 2012</c:v>
                  </c:pt>
                  <c:pt idx="4">
                    <c:v>AÑO 2013</c:v>
                  </c:pt>
                  <c:pt idx="6">
                    <c:v>TRIENIO</c:v>
                  </c:pt>
                </c:lvl>
              </c:multiLvlStrCache>
            </c:multiLvlStrRef>
          </c:cat>
          <c:val>
            <c:numRef>
              <c:f>Hoja2!$C$9:$J$9</c:f>
              <c:numCache>
                <c:formatCode>General</c:formatCode>
                <c:ptCount val="8"/>
                <c:pt idx="4" formatCode="0.0">
                  <c:v>4.666666666666667</c:v>
                </c:pt>
                <c:pt idx="5" formatCode="0.0">
                  <c:v>8.2307692307692299</c:v>
                </c:pt>
                <c:pt idx="6" formatCode="0.0">
                  <c:v>4.666666666666667</c:v>
                </c:pt>
                <c:pt idx="7" formatCode="0.0">
                  <c:v>8.2307692307692299</c:v>
                </c:pt>
              </c:numCache>
            </c:numRef>
          </c:val>
        </c:ser>
        <c:dLbls>
          <c:dLblPos val="ctr"/>
          <c:showLegendKey val="0"/>
          <c:showVal val="1"/>
          <c:showCatName val="0"/>
          <c:showSerName val="0"/>
          <c:showPercent val="0"/>
          <c:showBubbleSize val="0"/>
        </c:dLbls>
        <c:gapWidth val="150"/>
        <c:axId val="482375984"/>
        <c:axId val="482376376"/>
      </c:barChart>
      <c:lineChart>
        <c:grouping val="standard"/>
        <c:varyColors val="0"/>
        <c:ser>
          <c:idx val="3"/>
          <c:order val="3"/>
          <c:tx>
            <c:strRef>
              <c:f>Hoja2!$B$10</c:f>
              <c:strCache>
                <c:ptCount val="1"/>
                <c:pt idx="0">
                  <c:v>Promedio</c:v>
                </c:pt>
              </c:strCache>
            </c:strRef>
          </c:tx>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Hoja2!$C$5:$J$6</c:f>
              <c:multiLvlStrCache>
                <c:ptCount val="8"/>
                <c:lvl>
                  <c:pt idx="0">
                    <c:v>TRADICIONAL</c:v>
                  </c:pt>
                  <c:pt idx="1">
                    <c:v>EMERGENCIA</c:v>
                  </c:pt>
                  <c:pt idx="2">
                    <c:v>TRADICIONAL</c:v>
                  </c:pt>
                  <c:pt idx="3">
                    <c:v>EMERGENCIA</c:v>
                  </c:pt>
                  <c:pt idx="4">
                    <c:v>TRADICIONAL</c:v>
                  </c:pt>
                  <c:pt idx="5">
                    <c:v>EMERGENCIA</c:v>
                  </c:pt>
                  <c:pt idx="6">
                    <c:v>TRADICIONAL</c:v>
                  </c:pt>
                  <c:pt idx="7">
                    <c:v>EMERGENCIA</c:v>
                  </c:pt>
                </c:lvl>
                <c:lvl>
                  <c:pt idx="0">
                    <c:v>AÑO 2011</c:v>
                  </c:pt>
                  <c:pt idx="2">
                    <c:v>AÑO 2012</c:v>
                  </c:pt>
                  <c:pt idx="4">
                    <c:v>AÑO 2013</c:v>
                  </c:pt>
                  <c:pt idx="6">
                    <c:v>TRIENIO</c:v>
                  </c:pt>
                </c:lvl>
              </c:multiLvlStrCache>
            </c:multiLvlStrRef>
          </c:cat>
          <c:val>
            <c:numRef>
              <c:f>Hoja2!$C$10:$J$10</c:f>
              <c:numCache>
                <c:formatCode>0.0</c:formatCode>
                <c:ptCount val="8"/>
                <c:pt idx="0">
                  <c:v>13.64</c:v>
                </c:pt>
                <c:pt idx="1">
                  <c:v>11.524752475247524</c:v>
                </c:pt>
                <c:pt idx="2">
                  <c:v>13.062068965517241</c:v>
                </c:pt>
                <c:pt idx="3">
                  <c:v>17.4430823117338</c:v>
                </c:pt>
                <c:pt idx="4">
                  <c:v>29.671686746987952</c:v>
                </c:pt>
                <c:pt idx="5">
                  <c:v>12.902743142144638</c:v>
                </c:pt>
                <c:pt idx="6">
                  <c:v>24.075697211155379</c:v>
                </c:pt>
                <c:pt idx="7">
                  <c:v>14.210891617725574</c:v>
                </c:pt>
              </c:numCache>
            </c:numRef>
          </c:val>
          <c:smooth val="0"/>
        </c:ser>
        <c:dLbls>
          <c:showLegendKey val="0"/>
          <c:showVal val="0"/>
          <c:showCatName val="0"/>
          <c:showSerName val="0"/>
          <c:showPercent val="0"/>
          <c:showBubbleSize val="0"/>
        </c:dLbls>
        <c:marker val="1"/>
        <c:smooth val="0"/>
        <c:axId val="482375984"/>
        <c:axId val="482376376"/>
      </c:lineChart>
      <c:catAx>
        <c:axId val="482375984"/>
        <c:scaling>
          <c:orientation val="minMax"/>
        </c:scaling>
        <c:delete val="0"/>
        <c:axPos val="b"/>
        <c:numFmt formatCode="General" sourceLinked="0"/>
        <c:majorTickMark val="out"/>
        <c:minorTickMark val="none"/>
        <c:tickLblPos val="nextTo"/>
        <c:crossAx val="482376376"/>
        <c:crosses val="autoZero"/>
        <c:auto val="1"/>
        <c:lblAlgn val="ctr"/>
        <c:lblOffset val="100"/>
        <c:noMultiLvlLbl val="0"/>
      </c:catAx>
      <c:valAx>
        <c:axId val="482376376"/>
        <c:scaling>
          <c:orientation val="minMax"/>
        </c:scaling>
        <c:delete val="0"/>
        <c:axPos val="l"/>
        <c:majorGridlines/>
        <c:numFmt formatCode="0.0" sourceLinked="1"/>
        <c:majorTickMark val="out"/>
        <c:minorTickMark val="none"/>
        <c:tickLblPos val="nextTo"/>
        <c:crossAx val="482375984"/>
        <c:crosses val="autoZero"/>
        <c:crossBetween val="between"/>
      </c:valAx>
    </c:plotArea>
    <c:legend>
      <c:legendPos val="b"/>
      <c:overlay val="0"/>
    </c:legend>
    <c:plotVisOnly val="1"/>
    <c:dispBlanksAs val="gap"/>
    <c:showDLblsOverMax val="0"/>
  </c:chart>
  <c:spPr>
    <a:ln w="28575"/>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'definitivo 24092014'!$K$10</c:f>
              <c:strCache>
                <c:ptCount val="1"/>
                <c:pt idx="0">
                  <c:v>Línea Espacio Activo</c:v>
                </c:pt>
              </c:strCache>
            </c:strRef>
          </c:tx>
          <c:spPr>
            <a:ln w="28575" cap="rnd">
              <a:solidFill>
                <a:schemeClr val="accent1"/>
              </a:solidFill>
              <a:round/>
            </a:ln>
            <a:effectLst/>
          </c:spPr>
          <c:invertIfNegative val="0"/>
          <c:cat>
            <c:strRef>
              <c:f>'definitivo 24092014'!$J$11:$J$13</c:f>
              <c:strCache>
                <c:ptCount val="3"/>
                <c:pt idx="0">
                  <c:v>2013</c:v>
                </c:pt>
                <c:pt idx="1">
                  <c:v>2014</c:v>
                </c:pt>
                <c:pt idx="2">
                  <c:v>BIENIO</c:v>
                </c:pt>
              </c:strCache>
            </c:strRef>
          </c:cat>
          <c:val>
            <c:numRef>
              <c:f>'definitivo 24092014'!$K$11:$K$13</c:f>
              <c:numCache>
                <c:formatCode>#,##0</c:formatCode>
                <c:ptCount val="3"/>
                <c:pt idx="0">
                  <c:v>1705353712</c:v>
                </c:pt>
                <c:pt idx="1">
                  <c:v>41127160</c:v>
                </c:pt>
                <c:pt idx="2">
                  <c:v>1746480872</c:v>
                </c:pt>
              </c:numCache>
            </c:numRef>
          </c:val>
        </c:ser>
        <c:ser>
          <c:idx val="1"/>
          <c:order val="1"/>
          <c:tx>
            <c:strRef>
              <c:f>'definitivo 24092014'!$L$10</c:f>
              <c:strCache>
                <c:ptCount val="1"/>
                <c:pt idx="0">
                  <c:v>Línea EVS</c:v>
                </c:pt>
              </c:strCache>
            </c:strRef>
          </c:tx>
          <c:spPr>
            <a:ln w="28575" cap="rnd">
              <a:solidFill>
                <a:schemeClr val="accent2"/>
              </a:solidFill>
              <a:round/>
            </a:ln>
            <a:effectLst/>
          </c:spPr>
          <c:invertIfNegative val="0"/>
          <c:cat>
            <c:strRef>
              <c:f>'definitivo 24092014'!$J$11:$J$13</c:f>
              <c:strCache>
                <c:ptCount val="3"/>
                <c:pt idx="0">
                  <c:v>2013</c:v>
                </c:pt>
                <c:pt idx="1">
                  <c:v>2014</c:v>
                </c:pt>
                <c:pt idx="2">
                  <c:v>BIENIO</c:v>
                </c:pt>
              </c:strCache>
            </c:strRef>
          </c:cat>
          <c:val>
            <c:numRef>
              <c:f>'definitivo 24092014'!$L$11:$L$13</c:f>
              <c:numCache>
                <c:formatCode>#,##0</c:formatCode>
                <c:ptCount val="3"/>
                <c:pt idx="0">
                  <c:v>2896955091</c:v>
                </c:pt>
                <c:pt idx="1">
                  <c:v>377050132</c:v>
                </c:pt>
                <c:pt idx="2">
                  <c:v>3274005223</c:v>
                </c:pt>
              </c:numCache>
            </c:numRef>
          </c:val>
        </c:ser>
        <c:ser>
          <c:idx val="2"/>
          <c:order val="2"/>
          <c:tx>
            <c:strRef>
              <c:f>'definitivo 24092014'!$M$10</c:f>
              <c:strCache>
                <c:ptCount val="1"/>
                <c:pt idx="0">
                  <c:v>Línea 100 Pasarelas</c:v>
                </c:pt>
              </c:strCache>
            </c:strRef>
          </c:tx>
          <c:spPr>
            <a:ln w="28575" cap="rnd">
              <a:solidFill>
                <a:schemeClr val="accent3"/>
              </a:solidFill>
              <a:round/>
            </a:ln>
            <a:effectLst/>
          </c:spPr>
          <c:invertIfNegative val="0"/>
          <c:cat>
            <c:strRef>
              <c:f>'definitivo 24092014'!$J$11:$J$13</c:f>
              <c:strCache>
                <c:ptCount val="3"/>
                <c:pt idx="0">
                  <c:v>2013</c:v>
                </c:pt>
                <c:pt idx="1">
                  <c:v>2014</c:v>
                </c:pt>
                <c:pt idx="2">
                  <c:v>BIENIO</c:v>
                </c:pt>
              </c:strCache>
            </c:strRef>
          </c:cat>
          <c:val>
            <c:numRef>
              <c:f>'definitivo 24092014'!$M$11:$M$13</c:f>
              <c:numCache>
                <c:formatCode>#,##0</c:formatCode>
                <c:ptCount val="3"/>
                <c:pt idx="0">
                  <c:v>1373818835</c:v>
                </c:pt>
                <c:pt idx="1">
                  <c:v>37745551</c:v>
                </c:pt>
                <c:pt idx="2">
                  <c:v>1411564386</c:v>
                </c:pt>
              </c:numCache>
            </c:numRef>
          </c:val>
        </c:ser>
        <c:ser>
          <c:idx val="3"/>
          <c:order val="3"/>
          <c:tx>
            <c:strRef>
              <c:f>'definitivo 24092014'!$N$10</c:f>
              <c:strCache>
                <c:ptCount val="1"/>
                <c:pt idx="0">
                  <c:v>Línea Fútbol Calle</c:v>
                </c:pt>
              </c:strCache>
            </c:strRef>
          </c:tx>
          <c:spPr>
            <a:ln w="28575" cap="rnd">
              <a:solidFill>
                <a:schemeClr val="accent4"/>
              </a:solidFill>
              <a:round/>
            </a:ln>
            <a:effectLst/>
          </c:spPr>
          <c:invertIfNegative val="0"/>
          <c:cat>
            <c:strRef>
              <c:f>'definitivo 24092014'!$J$11:$J$13</c:f>
              <c:strCache>
                <c:ptCount val="3"/>
                <c:pt idx="0">
                  <c:v>2013</c:v>
                </c:pt>
                <c:pt idx="1">
                  <c:v>2014</c:v>
                </c:pt>
                <c:pt idx="2">
                  <c:v>BIENIO</c:v>
                </c:pt>
              </c:strCache>
            </c:strRef>
          </c:cat>
          <c:val>
            <c:numRef>
              <c:f>'definitivo 24092014'!$N$11:$N$13</c:f>
              <c:numCache>
                <c:formatCode>#,##0</c:formatCode>
                <c:ptCount val="3"/>
                <c:pt idx="0">
                  <c:v>438531452</c:v>
                </c:pt>
                <c:pt idx="1">
                  <c:v>48416474</c:v>
                </c:pt>
                <c:pt idx="2">
                  <c:v>486947926</c:v>
                </c:pt>
              </c:numCache>
            </c:numRef>
          </c:val>
        </c:ser>
        <c:dLbls>
          <c:showLegendKey val="0"/>
          <c:showVal val="0"/>
          <c:showCatName val="0"/>
          <c:showSerName val="0"/>
          <c:showPercent val="0"/>
          <c:showBubbleSize val="0"/>
        </c:dLbls>
        <c:gapWidth val="150"/>
        <c:axId val="132547480"/>
        <c:axId val="132547088"/>
      </c:barChart>
      <c:catAx>
        <c:axId val="13254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32547088"/>
        <c:crosses val="autoZero"/>
        <c:auto val="1"/>
        <c:lblAlgn val="ctr"/>
        <c:lblOffset val="100"/>
        <c:noMultiLvlLbl val="0"/>
      </c:catAx>
      <c:valAx>
        <c:axId val="132547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32547480"/>
        <c:crosses val="autoZero"/>
        <c:crossBetween val="between"/>
      </c:valAx>
      <c:spPr>
        <a:noFill/>
        <a:ln>
          <a:noFill/>
        </a:ln>
        <a:effectLst/>
      </c:spPr>
    </c:plotArea>
    <c:legend>
      <c:legendPos val="b"/>
      <c:layout>
        <c:manualLayout>
          <c:xMode val="edge"/>
          <c:yMode val="edge"/>
          <c:x val="0.1883337361505095"/>
          <c:y val="0.89776902887139109"/>
          <c:w val="0.73539897981249924"/>
          <c:h val="7.70553338366950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'definitivo 24092014'!$K$28</c:f>
              <c:strCache>
                <c:ptCount val="1"/>
                <c:pt idx="0">
                  <c:v>Línea Espacio Activo</c:v>
                </c:pt>
              </c:strCache>
            </c:strRef>
          </c:tx>
          <c:spPr>
            <a:ln w="28575" cap="rnd">
              <a:solidFill>
                <a:schemeClr val="accent1"/>
              </a:solidFill>
              <a:round/>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'definitivo 24092014'!$J$29:$J$31</c:f>
              <c:strCache>
                <c:ptCount val="3"/>
                <c:pt idx="0">
                  <c:v>2013</c:v>
                </c:pt>
                <c:pt idx="1">
                  <c:v>2014</c:v>
                </c:pt>
                <c:pt idx="2">
                  <c:v>BIENIO</c:v>
                </c:pt>
              </c:strCache>
            </c:strRef>
          </c:cat>
          <c:val>
            <c:numRef>
              <c:f>'definitivo 24092014'!$K$29:$K$31</c:f>
              <c:numCache>
                <c:formatCode>#,##0</c:formatCode>
                <c:ptCount val="3"/>
                <c:pt idx="0">
                  <c:v>80</c:v>
                </c:pt>
                <c:pt idx="1">
                  <c:v>2</c:v>
                </c:pt>
                <c:pt idx="2">
                  <c:v>82</c:v>
                </c:pt>
              </c:numCache>
            </c:numRef>
          </c:val>
        </c:ser>
        <c:ser>
          <c:idx val="1"/>
          <c:order val="1"/>
          <c:tx>
            <c:strRef>
              <c:f>'definitivo 24092014'!$L$28</c:f>
              <c:strCache>
                <c:ptCount val="1"/>
                <c:pt idx="0">
                  <c:v>Línea EVS</c:v>
                </c:pt>
              </c:strCache>
            </c:strRef>
          </c:tx>
          <c:spPr>
            <a:ln w="28575" cap="rnd">
              <a:solidFill>
                <a:schemeClr val="accent2"/>
              </a:solidFill>
              <a:round/>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'definitivo 24092014'!$J$29:$J$31</c:f>
              <c:strCache>
                <c:ptCount val="3"/>
                <c:pt idx="0">
                  <c:v>2013</c:v>
                </c:pt>
                <c:pt idx="1">
                  <c:v>2014</c:v>
                </c:pt>
                <c:pt idx="2">
                  <c:v>BIENIO</c:v>
                </c:pt>
              </c:strCache>
            </c:strRef>
          </c:cat>
          <c:val>
            <c:numRef>
              <c:f>'definitivo 24092014'!$L$29:$L$31</c:f>
              <c:numCache>
                <c:formatCode>#,##0</c:formatCode>
                <c:ptCount val="3"/>
                <c:pt idx="0">
                  <c:v>94</c:v>
                </c:pt>
                <c:pt idx="1">
                  <c:v>14</c:v>
                </c:pt>
                <c:pt idx="2">
                  <c:v>108</c:v>
                </c:pt>
              </c:numCache>
            </c:numRef>
          </c:val>
        </c:ser>
        <c:ser>
          <c:idx val="2"/>
          <c:order val="2"/>
          <c:tx>
            <c:strRef>
              <c:f>'definitivo 24092014'!$M$28</c:f>
              <c:strCache>
                <c:ptCount val="1"/>
                <c:pt idx="0">
                  <c:v>Línea 100 Pasarelas</c:v>
                </c:pt>
              </c:strCache>
            </c:strRef>
          </c:tx>
          <c:spPr>
            <a:ln w="28575" cap="rnd">
              <a:solidFill>
                <a:schemeClr val="accent3"/>
              </a:solidFill>
              <a:round/>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'definitivo 24092014'!$J$29:$J$31</c:f>
              <c:strCache>
                <c:ptCount val="3"/>
                <c:pt idx="0">
                  <c:v>2013</c:v>
                </c:pt>
                <c:pt idx="1">
                  <c:v>2014</c:v>
                </c:pt>
                <c:pt idx="2">
                  <c:v>BIENIO</c:v>
                </c:pt>
              </c:strCache>
            </c:strRef>
          </c:cat>
          <c:val>
            <c:numRef>
              <c:f>'definitivo 24092014'!$M$29:$M$31</c:f>
              <c:numCache>
                <c:formatCode>#,##0</c:formatCode>
                <c:ptCount val="3"/>
                <c:pt idx="0">
                  <c:v>32</c:v>
                </c:pt>
                <c:pt idx="1">
                  <c:v>4</c:v>
                </c:pt>
                <c:pt idx="2">
                  <c:v>36</c:v>
                </c:pt>
              </c:numCache>
            </c:numRef>
          </c:val>
        </c:ser>
        <c:ser>
          <c:idx val="3"/>
          <c:order val="3"/>
          <c:tx>
            <c:strRef>
              <c:f>'definitivo 24092014'!$N$28</c:f>
              <c:strCache>
                <c:ptCount val="1"/>
                <c:pt idx="0">
                  <c:v>Línea Fútbol Calle</c:v>
                </c:pt>
              </c:strCache>
            </c:strRef>
          </c:tx>
          <c:spPr>
            <a:ln w="28575" cap="rnd">
              <a:solidFill>
                <a:schemeClr val="accent4"/>
              </a:solidFill>
              <a:round/>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'definitivo 24092014'!$J$29:$J$31</c:f>
              <c:strCache>
                <c:ptCount val="3"/>
                <c:pt idx="0">
                  <c:v>2013</c:v>
                </c:pt>
                <c:pt idx="1">
                  <c:v>2014</c:v>
                </c:pt>
                <c:pt idx="2">
                  <c:v>BIENIO</c:v>
                </c:pt>
              </c:strCache>
            </c:strRef>
          </c:cat>
          <c:val>
            <c:numRef>
              <c:f>'definitivo 24092014'!$N$29:$N$31</c:f>
              <c:numCache>
                <c:formatCode>#,##0</c:formatCode>
                <c:ptCount val="3"/>
                <c:pt idx="0">
                  <c:v>11</c:v>
                </c:pt>
                <c:pt idx="1">
                  <c:v>1</c:v>
                </c:pt>
                <c:pt idx="2">
                  <c:v>12</c:v>
                </c:pt>
              </c:numCache>
            </c:numRef>
          </c:val>
        </c:ser>
        <c:dLbls>
          <c:dLblPos val="outEnd"/>
          <c:showLegendKey val="0"/>
          <c:showVal val="1"/>
          <c:showCatName val="0"/>
          <c:showSerName val="0"/>
          <c:showPercent val="0"/>
          <c:showBubbleSize val="0"/>
        </c:dLbls>
        <c:gapWidth val="150"/>
        <c:axId val="448293752"/>
        <c:axId val="302472752"/>
      </c:barChart>
      <c:catAx>
        <c:axId val="44829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02472752"/>
        <c:crosses val="autoZero"/>
        <c:auto val="1"/>
        <c:lblAlgn val="ctr"/>
        <c:lblOffset val="100"/>
        <c:noMultiLvlLbl val="0"/>
      </c:catAx>
      <c:valAx>
        <c:axId val="30247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48293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22365305151515E-2"/>
          <c:y val="5.3962740764130109E-2"/>
          <c:w val="0.89598512507728789"/>
          <c:h val="0.58493544401045228"/>
        </c:manualLayout>
      </c:layout>
      <c:barChart>
        <c:barDir val="col"/>
        <c:grouping val="percentStacked"/>
        <c:varyColors val="0"/>
        <c:ser>
          <c:idx val="0"/>
          <c:order val="0"/>
          <c:tx>
            <c:strRef>
              <c:f>Hoja1!$B$64</c:f>
              <c:strCache>
                <c:ptCount val="1"/>
                <c:pt idx="0">
                  <c:v>ALUMBRADO</c:v>
                </c:pt>
              </c:strCache>
            </c:strRef>
          </c:tx>
          <c:spPr>
            <a:solidFill>
              <a:schemeClr val="accent1"/>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Hoja1!$C$64:$H$64</c:f>
              <c:numCache>
                <c:formatCode>0.00%</c:formatCode>
                <c:ptCount val="6"/>
                <c:pt idx="0">
                  <c:v>1.9611703692515369E-2</c:v>
                </c:pt>
                <c:pt idx="1">
                  <c:v>2.0770739684428871E-2</c:v>
                </c:pt>
                <c:pt idx="2">
                  <c:v>6.7371111364046124E-2</c:v>
                </c:pt>
                <c:pt idx="3">
                  <c:v>2.2117575238054094E-2</c:v>
                </c:pt>
                <c:pt idx="4">
                  <c:v>3.5094468455031891E-2</c:v>
                </c:pt>
                <c:pt idx="5">
                  <c:v>2.1573735344235234E-2</c:v>
                </c:pt>
              </c:numCache>
            </c:numRef>
          </c:val>
        </c:ser>
        <c:ser>
          <c:idx val="1"/>
          <c:order val="1"/>
          <c:tx>
            <c:strRef>
              <c:f>Hoja1!$B$65</c:f>
              <c:strCache>
                <c:ptCount val="1"/>
                <c:pt idx="0">
                  <c:v>ÁREAS VERDES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Hoja1!$C$65:$H$65</c:f>
              <c:numCache>
                <c:formatCode>0.00%</c:formatCode>
                <c:ptCount val="6"/>
                <c:pt idx="0">
                  <c:v>0.15495928608719611</c:v>
                </c:pt>
                <c:pt idx="1">
                  <c:v>0.19991859677076043</c:v>
                </c:pt>
                <c:pt idx="2">
                  <c:v>0.15648304723740478</c:v>
                </c:pt>
                <c:pt idx="3">
                  <c:v>0.18650830274144833</c:v>
                </c:pt>
                <c:pt idx="4">
                  <c:v>0.15261152272864731</c:v>
                </c:pt>
                <c:pt idx="5">
                  <c:v>0.19192325697350018</c:v>
                </c:pt>
              </c:numCache>
            </c:numRef>
          </c:val>
        </c:ser>
        <c:ser>
          <c:idx val="2"/>
          <c:order val="2"/>
          <c:tx>
            <c:strRef>
              <c:f>Hoja1!$B$66</c:f>
              <c:strCache>
                <c:ptCount val="1"/>
                <c:pt idx="0">
                  <c:v>CAMINOS</c:v>
                </c:pt>
              </c:strCache>
            </c:strRef>
          </c:tx>
          <c:spPr>
            <a:solidFill>
              <a:schemeClr val="accent3"/>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Hoja1!$C$66:$H$66</c:f>
              <c:numCache>
                <c:formatCode>0.00%</c:formatCode>
                <c:ptCount val="6"/>
                <c:pt idx="0">
                  <c:v>6.2126022875765774E-3</c:v>
                </c:pt>
                <c:pt idx="1">
                  <c:v>1.3687014639796762E-3</c:v>
                </c:pt>
                <c:pt idx="2">
                  <c:v>7.0518450908932037E-3</c:v>
                </c:pt>
                <c:pt idx="3">
                  <c:v>2.6762057164296915E-2</c:v>
                </c:pt>
                <c:pt idx="4">
                  <c:v>6.3750480980786766E-3</c:v>
                </c:pt>
                <c:pt idx="5">
                  <c:v>1.6508452089354021E-2</c:v>
                </c:pt>
              </c:numCache>
            </c:numRef>
          </c:val>
        </c:ser>
        <c:ser>
          <c:idx val="3"/>
          <c:order val="3"/>
          <c:tx>
            <c:strRef>
              <c:f>Hoja1!$B$67</c:f>
              <c:strCache>
                <c:ptCount val="1"/>
                <c:pt idx="0">
                  <c:v>CEMENTERIOS</c:v>
                </c:pt>
              </c:strCache>
            </c:strRef>
          </c:tx>
          <c:spPr>
            <a:solidFill>
              <a:schemeClr val="accent4"/>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Hoja1!$C$67:$H$67</c:f>
              <c:numCache>
                <c:formatCode>0.00%</c:formatCode>
                <c:ptCount val="6"/>
                <c:pt idx="0">
                  <c:v>1.442780852959938E-2</c:v>
                </c:pt>
                <c:pt idx="1">
                  <c:v>1.2770095814079575E-2</c:v>
                </c:pt>
                <c:pt idx="2">
                  <c:v>1.0747303598477033E-2</c:v>
                </c:pt>
                <c:pt idx="3">
                  <c:v>8.4207248941530009E-3</c:v>
                </c:pt>
                <c:pt idx="4">
                  <c:v>1.2948902939173649E-2</c:v>
                </c:pt>
                <c:pt idx="5">
                  <c:v>1.0176961142078713E-2</c:v>
                </c:pt>
              </c:numCache>
            </c:numRef>
          </c:val>
        </c:ser>
        <c:ser>
          <c:idx val="4"/>
          <c:order val="4"/>
          <c:tx>
            <c:strRef>
              <c:f>Hoja1!$B$68</c:f>
              <c:strCache>
                <c:ptCount val="1"/>
                <c:pt idx="0">
                  <c:v>CONSTRUCCIÓN CALLES/ACERAS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Hoja1!$C$68:$H$68</c:f>
              <c:numCache>
                <c:formatCode>0.00%</c:formatCode>
                <c:ptCount val="6"/>
                <c:pt idx="0">
                  <c:v>0.10034354511264496</c:v>
                </c:pt>
                <c:pt idx="1">
                  <c:v>0.2538508454676322</c:v>
                </c:pt>
                <c:pt idx="2">
                  <c:v>0.18398160311677345</c:v>
                </c:pt>
                <c:pt idx="3">
                  <c:v>0.31340405911055069</c:v>
                </c:pt>
                <c:pt idx="4">
                  <c:v>0.12708024769226878</c:v>
                </c:pt>
                <c:pt idx="5">
                  <c:v>0.28935701543327264</c:v>
                </c:pt>
              </c:numCache>
            </c:numRef>
          </c:val>
        </c:ser>
        <c:ser>
          <c:idx val="5"/>
          <c:order val="5"/>
          <c:tx>
            <c:strRef>
              <c:f>Hoja1!$B$69</c:f>
              <c:strCache>
                <c:ptCount val="1"/>
                <c:pt idx="0">
                  <c:v>ESPACIO ACTIVO</c:v>
                </c:pt>
              </c:strCache>
            </c:strRef>
          </c:tx>
          <c:spPr>
            <a:solidFill>
              <a:schemeClr val="accent6"/>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Hoja1!$C$69:$H$69</c:f>
              <c:numCache>
                <c:formatCode>0.00%</c:formatCode>
                <c:ptCount val="6"/>
                <c:pt idx="0">
                  <c:v>2.210868717279758E-2</c:v>
                </c:pt>
                <c:pt idx="1">
                  <c:v>0</c:v>
                </c:pt>
                <c:pt idx="2">
                  <c:v>0</c:v>
                </c:pt>
                <c:pt idx="3">
                  <c:v>0</c:v>
                </c:pt>
                <c:pt idx="4">
                  <c:v>1.4412377342056993E-2</c:v>
                </c:pt>
                <c:pt idx="5">
                  <c:v>0</c:v>
                </c:pt>
              </c:numCache>
            </c:numRef>
          </c:val>
        </c:ser>
        <c:ser>
          <c:idx val="6"/>
          <c:order val="6"/>
          <c:tx>
            <c:strRef>
              <c:f>Hoja1!$B$70</c:f>
              <c:strCache>
                <c:ptCount val="1"/>
                <c:pt idx="0">
                  <c:v>INFRAESTRUCTURA DE SALUD</c:v>
                </c:pt>
              </c:strCache>
            </c:strRef>
          </c:tx>
          <c:spPr>
            <a:solidFill>
              <a:schemeClr val="accent1">
                <a:lumMod val="6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Hoja1!$C$70:$H$70</c:f>
              <c:numCache>
                <c:formatCode>0.00%</c:formatCode>
                <c:ptCount val="6"/>
                <c:pt idx="0">
                  <c:v>2.2901676625594409E-2</c:v>
                </c:pt>
                <c:pt idx="1">
                  <c:v>2.6438867737151586E-3</c:v>
                </c:pt>
                <c:pt idx="2">
                  <c:v>1.8680550251928652E-2</c:v>
                </c:pt>
                <c:pt idx="3">
                  <c:v>2.7794664823874728E-3</c:v>
                </c:pt>
                <c:pt idx="4">
                  <c:v>2.1088657206085305E-2</c:v>
                </c:pt>
                <c:pt idx="5">
                  <c:v>2.7247206344850486E-3</c:v>
                </c:pt>
              </c:numCache>
            </c:numRef>
          </c:val>
        </c:ser>
        <c:ser>
          <c:idx val="7"/>
          <c:order val="7"/>
          <c:tx>
            <c:strRef>
              <c:f>Hoja1!$B$71</c:f>
              <c:strCache>
                <c:ptCount val="1"/>
                <c:pt idx="0">
                  <c:v>INFRAESTRUCTURA DEPORTIVA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Hoja1!$C$71:$H$71</c:f>
              <c:numCache>
                <c:formatCode>0.00%</c:formatCode>
                <c:ptCount val="6"/>
                <c:pt idx="0">
                  <c:v>0.20019635625040511</c:v>
                </c:pt>
                <c:pt idx="1">
                  <c:v>0.13607636980886789</c:v>
                </c:pt>
                <c:pt idx="2">
                  <c:v>0.17936397166577026</c:v>
                </c:pt>
                <c:pt idx="3">
                  <c:v>8.839866826720881E-2</c:v>
                </c:pt>
                <c:pt idx="4">
                  <c:v>0.19003523912956188</c:v>
                </c:pt>
                <c:pt idx="5">
                  <c:v>0.10765048863544241</c:v>
                </c:pt>
              </c:numCache>
            </c:numRef>
          </c:val>
        </c:ser>
        <c:ser>
          <c:idx val="8"/>
          <c:order val="8"/>
          <c:tx>
            <c:strRef>
              <c:f>Hoja1!$B$72</c:f>
              <c:strCache>
                <c:ptCount val="1"/>
                <c:pt idx="0">
                  <c:v>INFRAESTRUCTURA ESCUELAS Y LICEOS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Hoja1!$C$72:$H$72</c:f>
              <c:numCache>
                <c:formatCode>0.00%</c:formatCode>
                <c:ptCount val="6"/>
                <c:pt idx="0">
                  <c:v>6.4348110804592837E-2</c:v>
                </c:pt>
                <c:pt idx="1">
                  <c:v>4.4896362339905481E-2</c:v>
                </c:pt>
                <c:pt idx="2">
                  <c:v>-1.5652794868289475E-4</c:v>
                </c:pt>
                <c:pt idx="3">
                  <c:v>2.663504812959501E-2</c:v>
                </c:pt>
                <c:pt idx="4">
                  <c:v>5.7391805766783724E-2</c:v>
                </c:pt>
                <c:pt idx="5">
                  <c:v>3.4008799998853742E-2</c:v>
                </c:pt>
              </c:numCache>
            </c:numRef>
          </c:val>
        </c:ser>
        <c:ser>
          <c:idx val="9"/>
          <c:order val="9"/>
          <c:tx>
            <c:strRef>
              <c:f>Hoja1!$B$73</c:f>
              <c:strCache>
                <c:ptCount val="1"/>
                <c:pt idx="0">
                  <c:v>OBRAS CONSISTORIALES/MUNICIPALES</c:v>
                </c:pt>
              </c:strCache>
            </c:strRef>
          </c:tx>
          <c:spPr>
            <a:solidFill>
              <a:schemeClr val="accent4">
                <a:lumMod val="6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Hoja1!$C$73:$H$73</c:f>
              <c:numCache>
                <c:formatCode>0.00%</c:formatCode>
                <c:ptCount val="6"/>
                <c:pt idx="0">
                  <c:v>5.4884126165471517E-2</c:v>
                </c:pt>
                <c:pt idx="1">
                  <c:v>4.98409834343988E-2</c:v>
                </c:pt>
                <c:pt idx="2">
                  <c:v>4.8251834323533783E-2</c:v>
                </c:pt>
                <c:pt idx="3">
                  <c:v>4.3341945578667718E-2</c:v>
                </c:pt>
                <c:pt idx="4">
                  <c:v>5.1687843270167649E-2</c:v>
                </c:pt>
                <c:pt idx="5">
                  <c:v>4.5966197699033901E-2</c:v>
                </c:pt>
              </c:numCache>
            </c:numRef>
          </c:val>
        </c:ser>
        <c:ser>
          <c:idx val="10"/>
          <c:order val="10"/>
          <c:tx>
            <c:strRef>
              <c:f>Hoja1!$B$74</c:f>
              <c:strCache>
                <c:ptCount val="1"/>
                <c:pt idx="0">
                  <c:v>OTRAS OBRAS URBANAS/RURALES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Hoja1!$C$74:$H$74</c:f>
              <c:numCache>
                <c:formatCode>0.00%</c:formatCode>
                <c:ptCount val="6"/>
                <c:pt idx="0">
                  <c:v>0.11204923579193239</c:v>
                </c:pt>
                <c:pt idx="1">
                  <c:v>0.15946524228255607</c:v>
                </c:pt>
                <c:pt idx="2">
                  <c:v>7.2630800793195643E-2</c:v>
                </c:pt>
                <c:pt idx="3">
                  <c:v>0.19490680463460655</c:v>
                </c:pt>
                <c:pt idx="4">
                  <c:v>9.8219505885397018E-2</c:v>
                </c:pt>
                <c:pt idx="5">
                  <c:v>0.18059582549952713</c:v>
                </c:pt>
              </c:numCache>
            </c:numRef>
          </c:val>
        </c:ser>
        <c:ser>
          <c:idx val="11"/>
          <c:order val="11"/>
          <c:tx>
            <c:strRef>
              <c:f>Hoja1!$B$75</c:f>
              <c:strCache>
                <c:ptCount val="1"/>
                <c:pt idx="0">
                  <c:v>PASARELAS</c:v>
                </c:pt>
              </c:strCache>
            </c:strRef>
          </c:tx>
          <c:spPr>
            <a:solidFill>
              <a:schemeClr val="accent6">
                <a:lumMod val="6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Hoja1!$C$75:$H$75</c:f>
              <c:numCache>
                <c:formatCode>0.00%</c:formatCode>
                <c:ptCount val="6"/>
                <c:pt idx="0">
                  <c:v>9.8111872694556287E-3</c:v>
                </c:pt>
                <c:pt idx="1">
                  <c:v>2.6613163988187028E-3</c:v>
                </c:pt>
                <c:pt idx="2">
                  <c:v>4.5689426295384217E-3</c:v>
                </c:pt>
                <c:pt idx="3">
                  <c:v>2.0885451246679633E-3</c:v>
                </c:pt>
                <c:pt idx="4">
                  <c:v>7.9022596274204038E-3</c:v>
                </c:pt>
                <c:pt idx="5">
                  <c:v>2.319824933162914E-3</c:v>
                </c:pt>
              </c:numCache>
            </c:numRef>
          </c:val>
        </c:ser>
        <c:ser>
          <c:idx val="12"/>
          <c:order val="12"/>
          <c:tx>
            <c:strRef>
              <c:f>Hoja1!$B$76</c:f>
              <c:strCache>
                <c:ptCount val="1"/>
                <c:pt idx="0">
                  <c:v>PLAZA ACTIVA</c:v>
                </c:pt>
              </c:strCache>
            </c:strRef>
          </c:tx>
          <c:spPr>
            <a:solidFill>
              <a:schemeClr val="accent1">
                <a:lumMod val="80000"/>
                <a:lumOff val="2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Hoja1!$C$76:$H$76</c:f>
              <c:numCache>
                <c:formatCode>0.00%</c:formatCode>
                <c:ptCount val="6"/>
                <c:pt idx="0">
                  <c:v>5.3188039009084531E-2</c:v>
                </c:pt>
                <c:pt idx="1">
                  <c:v>1.9999012792962255E-2</c:v>
                </c:pt>
                <c:pt idx="2">
                  <c:v>2.5775595701432057E-2</c:v>
                </c:pt>
                <c:pt idx="3">
                  <c:v>9.6976870247451954E-3</c:v>
                </c:pt>
                <c:pt idx="4">
                  <c:v>4.317133316531676E-2</c:v>
                </c:pt>
                <c:pt idx="5">
                  <c:v>1.3857268271988972E-2</c:v>
                </c:pt>
              </c:numCache>
            </c:numRef>
          </c:val>
        </c:ser>
        <c:ser>
          <c:idx val="13"/>
          <c:order val="13"/>
          <c:tx>
            <c:strRef>
              <c:f>Hoja1!$B$77</c:f>
              <c:strCache>
                <c:ptCount val="1"/>
                <c:pt idx="0">
                  <c:v>RIEGO</c:v>
                </c:pt>
              </c:strCache>
            </c:strRef>
          </c:tx>
          <c:spPr>
            <a:solidFill>
              <a:schemeClr val="accent2">
                <a:lumMod val="80000"/>
                <a:lumOff val="2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Hoja1!$C$77:$H$77</c:f>
              <c:numCache>
                <c:formatCode>0.00%</c:formatCode>
                <c:ptCount val="6"/>
                <c:pt idx="0">
                  <c:v>0</c:v>
                </c:pt>
                <c:pt idx="1">
                  <c:v>2.1002765440570068E-3</c:v>
                </c:pt>
                <c:pt idx="2">
                  <c:v>0</c:v>
                </c:pt>
                <c:pt idx="3">
                  <c:v>0</c:v>
                </c:pt>
                <c:pt idx="4">
                  <c:v>0</c:v>
                </c:pt>
                <c:pt idx="5">
                  <c:v>8.4807248341176923E-4</c:v>
                </c:pt>
              </c:numCache>
            </c:numRef>
          </c:val>
        </c:ser>
        <c:ser>
          <c:idx val="14"/>
          <c:order val="14"/>
          <c:tx>
            <c:strRef>
              <c:f>Hoja1!$B$78</c:f>
              <c:strCache>
                <c:ptCount val="1"/>
                <c:pt idx="0">
                  <c:v>SEDES SOCIALES</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Hoja1!$C$78:$H$78</c:f>
              <c:numCache>
                <c:formatCode>0.00%</c:formatCode>
                <c:ptCount val="6"/>
                <c:pt idx="0">
                  <c:v>0.14112583533171599</c:v>
                </c:pt>
                <c:pt idx="1">
                  <c:v>6.2444038193572873E-2</c:v>
                </c:pt>
                <c:pt idx="2">
                  <c:v>0.19414386306781337</c:v>
                </c:pt>
                <c:pt idx="3">
                  <c:v>4.4465834751211242E-2</c:v>
                </c:pt>
                <c:pt idx="4">
                  <c:v>0.15601117059143846</c:v>
                </c:pt>
                <c:pt idx="5">
                  <c:v>5.1725269078461346E-2</c:v>
                </c:pt>
              </c:numCache>
            </c:numRef>
          </c:val>
        </c:ser>
        <c:ser>
          <c:idx val="15"/>
          <c:order val="15"/>
          <c:tx>
            <c:strRef>
              <c:f>Hoja1!$B$79</c:f>
              <c:strCache>
                <c:ptCount val="1"/>
                <c:pt idx="0">
                  <c:v>SERVICIOS BÁSICOS</c:v>
                </c:pt>
              </c:strCache>
            </c:strRef>
          </c:tx>
          <c:spPr>
            <a:solidFill>
              <a:schemeClr val="accent4">
                <a:lumMod val="80000"/>
                <a:lumOff val="2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Hoja1!$C$79:$H$79</c:f>
              <c:numCache>
                <c:formatCode>0.00%</c:formatCode>
                <c:ptCount val="6"/>
                <c:pt idx="0">
                  <c:v>2.0099630710021577E-2</c:v>
                </c:pt>
                <c:pt idx="1">
                  <c:v>2.242866883745484E-2</c:v>
                </c:pt>
                <c:pt idx="2">
                  <c:v>3.0060736805566965E-2</c:v>
                </c:pt>
                <c:pt idx="3">
                  <c:v>1.496756811048525E-2</c:v>
                </c:pt>
                <c:pt idx="4">
                  <c:v>2.3192000541143901E-2</c:v>
                </c:pt>
                <c:pt idx="5">
                  <c:v>1.7980292430247357E-2</c:v>
                </c:pt>
              </c:numCache>
            </c:numRef>
          </c:val>
        </c:ser>
        <c:ser>
          <c:idx val="16"/>
          <c:order val="16"/>
          <c:tx>
            <c:strRef>
              <c:f>Hoja1!$B$80</c:f>
              <c:strCache>
                <c:ptCount val="1"/>
                <c:pt idx="0">
                  <c:v>VARIOS</c:v>
                </c:pt>
              </c:strCache>
            </c:strRef>
          </c:tx>
          <c:spPr>
            <a:solidFill>
              <a:schemeClr val="accent5">
                <a:lumMod val="80000"/>
                <a:lumOff val="2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Hoja1!$C$80:$H$80</c:f>
              <c:numCache>
                <c:formatCode>0.00%</c:formatCode>
                <c:ptCount val="6"/>
                <c:pt idx="0">
                  <c:v>2.387786425663081E-3</c:v>
                </c:pt>
                <c:pt idx="1">
                  <c:v>8.7648633928101866E-3</c:v>
                </c:pt>
                <c:pt idx="2">
                  <c:v>1.0453223023091651E-3</c:v>
                </c:pt>
                <c:pt idx="3">
                  <c:v>1.5505712747921742E-2</c:v>
                </c:pt>
                <c:pt idx="4">
                  <c:v>1.9012312296988899E-3</c:v>
                </c:pt>
                <c:pt idx="5">
                  <c:v>1.2783819352944649E-2</c:v>
                </c:pt>
              </c:numCache>
            </c:numRef>
          </c:val>
        </c:ser>
        <c:ser>
          <c:idx val="17"/>
          <c:order val="17"/>
          <c:tx>
            <c:strRef>
              <c:f>Hoja1!$B$81</c:f>
              <c:strCache>
                <c:ptCount val="1"/>
                <c:pt idx="0">
                  <c:v>VERTEDEROS</c:v>
                </c:pt>
              </c:strCache>
            </c:strRef>
          </c:tx>
          <c:spPr>
            <a:solidFill>
              <a:schemeClr val="accent6">
                <a:lumMod val="80000"/>
                <a:lumOff val="20000"/>
              </a:schemeClr>
            </a:solidFill>
            <a:ln>
              <a:noFill/>
            </a:ln>
            <a:effectLst/>
          </c:spPr>
          <c:invertIfNegative val="0"/>
          <c:cat>
            <c:multiLvlStrRef>
              <c:f>Hoja1!$C$62:$H$63</c:f>
              <c:multiLvlStrCache>
                <c:ptCount val="6"/>
                <c:lvl>
                  <c:pt idx="0">
                    <c:v>EMERGENCIA</c:v>
                  </c:pt>
                  <c:pt idx="1">
                    <c:v>TRADICIONAL</c:v>
                  </c:pt>
                  <c:pt idx="2">
                    <c:v>EMERGENCIA</c:v>
                  </c:pt>
                  <c:pt idx="3">
                    <c:v>TRADICIONAL</c:v>
                  </c:pt>
                  <c:pt idx="4">
                    <c:v>EMERGENCIA</c:v>
                  </c:pt>
                  <c:pt idx="5">
                    <c:v>TRADICIONAL</c:v>
                  </c:pt>
                </c:lvl>
                <c:lvl>
                  <c:pt idx="0">
                    <c:v>2013</c:v>
                  </c:pt>
                  <c:pt idx="2">
                    <c:v>2014</c:v>
                  </c:pt>
                  <c:pt idx="4">
                    <c:v>ACUMULADO</c:v>
                  </c:pt>
                </c:lvl>
              </c:multiLvlStrCache>
            </c:multiLvlStrRef>
          </c:cat>
          <c:val>
            <c:numRef>
              <c:f>Hoja1!$C$81:$H$81</c:f>
              <c:numCache>
                <c:formatCode>0.00%</c:formatCode>
                <c:ptCount val="6"/>
                <c:pt idx="0">
                  <c:v>1.3443827337329675E-3</c:v>
                </c:pt>
                <c:pt idx="1">
                  <c:v>0</c:v>
                </c:pt>
                <c:pt idx="2">
                  <c:v>0</c:v>
                </c:pt>
                <c:pt idx="3">
                  <c:v>0</c:v>
                </c:pt>
                <c:pt idx="4">
                  <c:v>8.763863317287102E-4</c:v>
                </c:pt>
                <c:pt idx="5">
                  <c:v>0</c:v>
                </c:pt>
              </c:numCache>
            </c:numRef>
          </c:val>
        </c:ser>
        <c:dLbls>
          <c:showLegendKey val="0"/>
          <c:showVal val="0"/>
          <c:showCatName val="0"/>
          <c:showSerName val="0"/>
          <c:showPercent val="0"/>
          <c:showBubbleSize val="0"/>
        </c:dLbls>
        <c:gapWidth val="150"/>
        <c:overlap val="100"/>
        <c:axId val="482365400"/>
        <c:axId val="482365792"/>
      </c:barChart>
      <c:catAx>
        <c:axId val="4823654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482365792"/>
        <c:crosses val="autoZero"/>
        <c:auto val="1"/>
        <c:lblAlgn val="ctr"/>
        <c:lblOffset val="100"/>
        <c:noMultiLvlLbl val="0"/>
      </c:catAx>
      <c:valAx>
        <c:axId val="4823657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crossAx val="482365400"/>
        <c:crosses val="autoZero"/>
        <c:crossBetween val="between"/>
      </c:valAx>
      <c:spPr>
        <a:noFill/>
        <a:ln>
          <a:noFill/>
        </a:ln>
        <a:effectLst/>
      </c:spPr>
    </c:plotArea>
    <c:legend>
      <c:legendPos val="b"/>
      <c:layout>
        <c:manualLayout>
          <c:xMode val="edge"/>
          <c:yMode val="edge"/>
          <c:x val="3.7566307266581486E-2"/>
          <c:y val="0.76790051938171444"/>
          <c:w val="0.9429710288250629"/>
          <c:h val="0.2131541064471456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Hoja1!$A$36</c:f>
              <c:strCache>
                <c:ptCount val="1"/>
                <c:pt idx="0">
                  <c:v>FIE/EMERGENCIA</c:v>
                </c:pt>
              </c:strCache>
            </c:strRef>
          </c:tx>
          <c:spPr>
            <a:solidFill>
              <a:schemeClr val="accent1"/>
            </a:solidFill>
            <a:ln>
              <a:noFill/>
            </a:ln>
            <a:effectLst/>
          </c:spPr>
          <c:invertIfNegative val="0"/>
          <c:dLbls>
            <c:spPr>
              <a:noFill/>
              <a:ln>
                <a:noFill/>
              </a:ln>
              <a:effectLst/>
            </c:spPr>
            <c:txPr>
              <a:bodyPr rot="0" vert="horz"/>
              <a:lstStyle/>
              <a:p>
                <a:pPr>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Hoja1!$B$35:$D$35</c:f>
              <c:strCache>
                <c:ptCount val="3"/>
                <c:pt idx="0">
                  <c:v>2013</c:v>
                </c:pt>
                <c:pt idx="1">
                  <c:v>2014</c:v>
                </c:pt>
                <c:pt idx="2">
                  <c:v>BIENIO</c:v>
                </c:pt>
              </c:strCache>
            </c:strRef>
          </c:cat>
          <c:val>
            <c:numRef>
              <c:f>Hoja1!$B$36:$D$36</c:f>
              <c:numCache>
                <c:formatCode>0.0%</c:formatCode>
                <c:ptCount val="3"/>
                <c:pt idx="0">
                  <c:v>0.21756597684262624</c:v>
                </c:pt>
                <c:pt idx="1">
                  <c:v>0.47751479714139689</c:v>
                </c:pt>
                <c:pt idx="2">
                  <c:v>0.25740568625874366</c:v>
                </c:pt>
              </c:numCache>
            </c:numRef>
          </c:val>
        </c:ser>
        <c:ser>
          <c:idx val="1"/>
          <c:order val="1"/>
          <c:tx>
            <c:strRef>
              <c:f>Hoja1!$A$37</c:f>
              <c:strCache>
                <c:ptCount val="1"/>
                <c:pt idx="0">
                  <c:v>MTT/EMERGENCIA</c:v>
                </c:pt>
              </c:strCache>
            </c:strRef>
          </c:tx>
          <c:spPr>
            <a:solidFill>
              <a:schemeClr val="accent2"/>
            </a:solidFill>
            <a:ln>
              <a:noFill/>
            </a:ln>
            <a:effectLst/>
          </c:spPr>
          <c:invertIfNegative val="0"/>
          <c:dLbls>
            <c:spPr>
              <a:noFill/>
              <a:ln>
                <a:noFill/>
              </a:ln>
              <a:effectLst/>
            </c:spPr>
            <c:txPr>
              <a:bodyPr rot="0" vert="horz"/>
              <a:lstStyle/>
              <a:p>
                <a:pPr>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Hoja1!$B$35:$D$35</c:f>
              <c:strCache>
                <c:ptCount val="3"/>
                <c:pt idx="0">
                  <c:v>2013</c:v>
                </c:pt>
                <c:pt idx="1">
                  <c:v>2014</c:v>
                </c:pt>
                <c:pt idx="2">
                  <c:v>BIENIO</c:v>
                </c:pt>
              </c:strCache>
            </c:strRef>
          </c:cat>
          <c:val>
            <c:numRef>
              <c:f>Hoja1!$B$37:$D$37</c:f>
              <c:numCache>
                <c:formatCode>0.0%</c:formatCode>
                <c:ptCount val="3"/>
                <c:pt idx="0">
                  <c:v>5.6445529451471877E-3</c:v>
                </c:pt>
                <c:pt idx="1">
                  <c:v>5.2271475776493456E-3</c:v>
                </c:pt>
                <c:pt idx="2">
                  <c:v>4.8364806850342001E-3</c:v>
                </c:pt>
              </c:numCache>
            </c:numRef>
          </c:val>
        </c:ser>
        <c:dLbls>
          <c:dLblPos val="ctr"/>
          <c:showLegendKey val="0"/>
          <c:showVal val="1"/>
          <c:showCatName val="0"/>
          <c:showSerName val="0"/>
          <c:showPercent val="0"/>
          <c:showBubbleSize val="0"/>
        </c:dLbls>
        <c:gapWidth val="219"/>
        <c:overlap val="-27"/>
        <c:axId val="482366576"/>
        <c:axId val="482366968"/>
      </c:barChart>
      <c:catAx>
        <c:axId val="48236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L"/>
          </a:p>
        </c:txPr>
        <c:crossAx val="482366968"/>
        <c:crosses val="autoZero"/>
        <c:auto val="1"/>
        <c:lblAlgn val="ctr"/>
        <c:lblOffset val="100"/>
        <c:noMultiLvlLbl val="0"/>
      </c:catAx>
      <c:valAx>
        <c:axId val="482366968"/>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es-CL"/>
          </a:p>
        </c:txPr>
        <c:crossAx val="482366576"/>
        <c:crosses val="autoZero"/>
        <c:crossBetween val="between"/>
      </c:valAx>
      <c:spPr>
        <a:noFill/>
        <a:ln>
          <a:noFill/>
        </a:ln>
        <a:effectLst/>
      </c:spPr>
    </c:plotArea>
    <c:legend>
      <c:legendPos val="b"/>
      <c:overlay val="0"/>
      <c:spPr>
        <a:noFill/>
        <a:ln>
          <a:noFill/>
        </a:ln>
        <a:effectLst/>
      </c:spPr>
      <c:txPr>
        <a:bodyPr rot="0" vert="horz"/>
        <a:lstStyle/>
        <a:p>
          <a:pPr>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C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297639220759305E-2"/>
          <c:y val="3.0587414100162944E-2"/>
          <c:w val="0.86185530271037913"/>
          <c:h val="0.56770612786108365"/>
        </c:manualLayout>
      </c:layout>
      <c:barChart>
        <c:barDir val="bar"/>
        <c:grouping val="percentStacked"/>
        <c:varyColors val="0"/>
        <c:ser>
          <c:idx val="0"/>
          <c:order val="0"/>
          <c:tx>
            <c:strRef>
              <c:f>'areas de inversión'!$A$57</c:f>
              <c:strCache>
                <c:ptCount val="1"/>
                <c:pt idx="0">
                  <c:v>Aceras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inversión'!$B$57:$E$57</c:f>
              <c:numCache>
                <c:formatCode>0.0%</c:formatCode>
                <c:ptCount val="4"/>
                <c:pt idx="0">
                  <c:v>9.0721333760417799E-2</c:v>
                </c:pt>
                <c:pt idx="1">
                  <c:v>6.9913746581309735E-2</c:v>
                </c:pt>
                <c:pt idx="2">
                  <c:v>0.11268508267454086</c:v>
                </c:pt>
                <c:pt idx="3">
                  <c:v>8.9613604165904706E-2</c:v>
                </c:pt>
              </c:numCache>
            </c:numRef>
          </c:val>
        </c:ser>
        <c:ser>
          <c:idx val="1"/>
          <c:order val="1"/>
          <c:tx>
            <c:strRef>
              <c:f>'areas de inversión'!$A$58</c:f>
              <c:strCache>
                <c:ptCount val="1"/>
                <c:pt idx="0">
                  <c:v>Áreas verdes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inversión'!$B$58:$E$58</c:f>
              <c:numCache>
                <c:formatCode>0.0%</c:formatCode>
                <c:ptCount val="4"/>
                <c:pt idx="0">
                  <c:v>3.5936400659948693E-2</c:v>
                </c:pt>
                <c:pt idx="1">
                  <c:v>5.5453601156569166E-2</c:v>
                </c:pt>
                <c:pt idx="2">
                  <c:v>6.3731686727131837E-2</c:v>
                </c:pt>
                <c:pt idx="3">
                  <c:v>5.0977334362311034E-2</c:v>
                </c:pt>
              </c:numCache>
            </c:numRef>
          </c:val>
        </c:ser>
        <c:ser>
          <c:idx val="2"/>
          <c:order val="2"/>
          <c:tx>
            <c:strRef>
              <c:f>'areas de inversión'!$A$59</c:f>
              <c:strCache>
                <c:ptCount val="1"/>
                <c:pt idx="0">
                  <c:v>Canchas deportivas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inversión'!$B$59:$E$59</c:f>
              <c:numCache>
                <c:formatCode>0.0%</c:formatCode>
                <c:ptCount val="4"/>
                <c:pt idx="0">
                  <c:v>9.3089183790769151E-2</c:v>
                </c:pt>
                <c:pt idx="1">
                  <c:v>9.9429620948748951E-2</c:v>
                </c:pt>
                <c:pt idx="2">
                  <c:v>0.12085914910057817</c:v>
                </c:pt>
                <c:pt idx="3">
                  <c:v>0.10339726113282749</c:v>
                </c:pt>
              </c:numCache>
            </c:numRef>
          </c:val>
        </c:ser>
        <c:ser>
          <c:idx val="3"/>
          <c:order val="3"/>
          <c:tx>
            <c:strRef>
              <c:f>'areas de inversión'!$A$60</c:f>
              <c:strCache>
                <c:ptCount val="1"/>
                <c:pt idx="0">
                  <c:v>Consultorios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inversión'!$B$60:$E$60</c:f>
              <c:numCache>
                <c:formatCode>0.0%</c:formatCode>
                <c:ptCount val="4"/>
                <c:pt idx="0">
                  <c:v>1.8390967788553491E-2</c:v>
                </c:pt>
                <c:pt idx="1">
                  <c:v>1.0085746034763164E-2</c:v>
                </c:pt>
                <c:pt idx="2">
                  <c:v>1.0245751861426495E-2</c:v>
                </c:pt>
                <c:pt idx="3">
                  <c:v>1.305597629676012E-2</c:v>
                </c:pt>
              </c:numCache>
            </c:numRef>
          </c:val>
        </c:ser>
        <c:ser>
          <c:idx val="4"/>
          <c:order val="4"/>
          <c:tx>
            <c:strRef>
              <c:f>'areas de inversión'!$A$61</c:f>
              <c:strCache>
                <c:ptCount val="1"/>
                <c:pt idx="0">
                  <c:v>Escuelas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inversión'!$B$61:$E$61</c:f>
              <c:numCache>
                <c:formatCode>0.0%</c:formatCode>
                <c:ptCount val="4"/>
                <c:pt idx="0">
                  <c:v>0.25275800621112327</c:v>
                </c:pt>
                <c:pt idx="1">
                  <c:v>0.28956032312187818</c:v>
                </c:pt>
                <c:pt idx="2">
                  <c:v>0.1694546451230215</c:v>
                </c:pt>
                <c:pt idx="3">
                  <c:v>0.24185547270093999</c:v>
                </c:pt>
              </c:numCache>
            </c:numRef>
          </c:val>
        </c:ser>
        <c:ser>
          <c:idx val="5"/>
          <c:order val="5"/>
          <c:tx>
            <c:strRef>
              <c:f>'areas de inversión'!$A$62</c:f>
              <c:strCache>
                <c:ptCount val="1"/>
                <c:pt idx="0">
                  <c:v>Implementación de deportes alternativos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inversión'!$B$62:$E$62</c:f>
              <c:numCache>
                <c:formatCode>0.0%</c:formatCode>
                <c:ptCount val="4"/>
                <c:pt idx="0">
                  <c:v>9.3397232663057338E-3</c:v>
                </c:pt>
                <c:pt idx="1">
                  <c:v>1.3384254295209088E-2</c:v>
                </c:pt>
                <c:pt idx="2">
                  <c:v>1.2286775638251689E-2</c:v>
                </c:pt>
                <c:pt idx="3">
                  <c:v>1.1642820112095413E-2</c:v>
                </c:pt>
              </c:numCache>
            </c:numRef>
          </c:val>
        </c:ser>
        <c:ser>
          <c:idx val="6"/>
          <c:order val="6"/>
          <c:tx>
            <c:strRef>
              <c:f>'areas de inversión'!$A$63</c:f>
              <c:strCache>
                <c:ptCount val="1"/>
                <c:pt idx="0">
                  <c:v>Infraestructura de servicios municipales</c:v>
                </c:pt>
              </c:strCache>
            </c:strRef>
          </c:tx>
          <c:invertIfNegative val="0"/>
          <c:dLbls>
            <c:dLbl>
              <c:idx val="1"/>
              <c:layout>
                <c:manualLayout>
                  <c:x val="-1.1318619128466326E-2"/>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inversión'!$B$63:$E$63</c:f>
              <c:numCache>
                <c:formatCode>0.0%</c:formatCode>
                <c:ptCount val="4"/>
                <c:pt idx="0">
                  <c:v>5.8436267409881094E-2</c:v>
                </c:pt>
                <c:pt idx="1">
                  <c:v>2.3727231290563193E-2</c:v>
                </c:pt>
                <c:pt idx="2">
                  <c:v>5.606959584072746E-2</c:v>
                </c:pt>
                <c:pt idx="3">
                  <c:v>4.5303992040827475E-2</c:v>
                </c:pt>
              </c:numCache>
            </c:numRef>
          </c:val>
        </c:ser>
        <c:ser>
          <c:idx val="7"/>
          <c:order val="7"/>
          <c:tx>
            <c:strRef>
              <c:f>'areas de inversión'!$A$64</c:f>
              <c:strCache>
                <c:ptCount val="1"/>
                <c:pt idx="0">
                  <c:v>Instalaciones sanitarias y obras civiles</c:v>
                </c:pt>
              </c:strCache>
            </c:strRef>
          </c:tx>
          <c:invertIfNegative val="0"/>
          <c:dLbls>
            <c:dLbl>
              <c:idx val="1"/>
              <c:layout>
                <c:manualLayout>
                  <c:x val="6.7911714770797962E-3"/>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inversión'!$B$64:$E$64</c:f>
              <c:numCache>
                <c:formatCode>0.0%</c:formatCode>
                <c:ptCount val="4"/>
                <c:pt idx="0">
                  <c:v>5.0072566654194718E-2</c:v>
                </c:pt>
                <c:pt idx="1">
                  <c:v>3.2631987492106593E-2</c:v>
                </c:pt>
                <c:pt idx="2">
                  <c:v>5.047967593094374E-2</c:v>
                </c:pt>
                <c:pt idx="3">
                  <c:v>4.3935702757117757E-2</c:v>
                </c:pt>
              </c:numCache>
            </c:numRef>
          </c:val>
        </c:ser>
        <c:ser>
          <c:idx val="8"/>
          <c:order val="8"/>
          <c:tx>
            <c:strRef>
              <c:f>'areas de inversión'!$A$65</c:f>
              <c:strCache>
                <c:ptCount val="1"/>
                <c:pt idx="0">
                  <c:v>Jardín infantil</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inversión'!$B$65:$E$65</c:f>
              <c:numCache>
                <c:formatCode>0.0%</c:formatCode>
                <c:ptCount val="4"/>
                <c:pt idx="0">
                  <c:v>4.651066783079476E-3</c:v>
                </c:pt>
                <c:pt idx="1">
                  <c:v>4.2124320340166258E-3</c:v>
                </c:pt>
                <c:pt idx="2">
                  <c:v>6.2778795161236378E-3</c:v>
                </c:pt>
                <c:pt idx="3">
                  <c:v>4.964420138390763E-3</c:v>
                </c:pt>
              </c:numCache>
            </c:numRef>
          </c:val>
        </c:ser>
        <c:ser>
          <c:idx val="9"/>
          <c:order val="9"/>
          <c:tx>
            <c:strRef>
              <c:f>'areas de inversión'!$A$66</c:f>
              <c:strCache>
                <c:ptCount val="1"/>
                <c:pt idx="0">
                  <c:v>Pasarela peatonal y puentes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inversión'!$B$66:$E$66</c:f>
              <c:numCache>
                <c:formatCode>0.0%</c:formatCode>
                <c:ptCount val="4"/>
                <c:pt idx="0">
                  <c:v>2.3444411461990722E-2</c:v>
                </c:pt>
                <c:pt idx="1">
                  <c:v>2.7885877373526744E-2</c:v>
                </c:pt>
                <c:pt idx="2">
                  <c:v>1.7096559772121881E-2</c:v>
                </c:pt>
                <c:pt idx="3">
                  <c:v>2.3200716437798419E-2</c:v>
                </c:pt>
              </c:numCache>
            </c:numRef>
          </c:val>
        </c:ser>
        <c:ser>
          <c:idx val="10"/>
          <c:order val="10"/>
          <c:tx>
            <c:strRef>
              <c:f>'areas de inversión'!$A$67</c:f>
              <c:strCache>
                <c:ptCount val="1"/>
                <c:pt idx="0">
                  <c:v>Pavimentación y mejoramiento de caminos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inversión'!$B$67:$E$67</c:f>
              <c:numCache>
                <c:formatCode>0.0%</c:formatCode>
                <c:ptCount val="4"/>
                <c:pt idx="0">
                  <c:v>3.6735162970636802E-2</c:v>
                </c:pt>
                <c:pt idx="1">
                  <c:v>7.974642251000949E-2</c:v>
                </c:pt>
                <c:pt idx="2">
                  <c:v>5.5370020468744161E-2</c:v>
                </c:pt>
                <c:pt idx="3">
                  <c:v>5.7551441037606496E-2</c:v>
                </c:pt>
              </c:numCache>
            </c:numRef>
          </c:val>
        </c:ser>
        <c:ser>
          <c:idx val="11"/>
          <c:order val="11"/>
          <c:tx>
            <c:strRef>
              <c:f>'areas de inversión'!$A$68</c:f>
              <c:strCache>
                <c:ptCount val="1"/>
                <c:pt idx="0">
                  <c:v>Plazas activas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inversión'!$B$68:$E$68</c:f>
              <c:numCache>
                <c:formatCode>0.0%</c:formatCode>
                <c:ptCount val="4"/>
                <c:pt idx="0">
                  <c:v>8.873276786911256E-3</c:v>
                </c:pt>
                <c:pt idx="1">
                  <c:v>3.0273082221463136E-2</c:v>
                </c:pt>
                <c:pt idx="2">
                  <c:v>3.2967778785363673E-2</c:v>
                </c:pt>
                <c:pt idx="3">
                  <c:v>2.3518674157560752E-2</c:v>
                </c:pt>
              </c:numCache>
            </c:numRef>
          </c:val>
        </c:ser>
        <c:ser>
          <c:idx val="12"/>
          <c:order val="12"/>
          <c:tx>
            <c:strRef>
              <c:f>'areas de inversión'!$A$69</c:f>
              <c:strCache>
                <c:ptCount val="1"/>
                <c:pt idx="0">
                  <c:v>Plazas y juegos infantiles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inversión'!$B$69:$E$69</c:f>
              <c:numCache>
                <c:formatCode>0.0%</c:formatCode>
                <c:ptCount val="4"/>
                <c:pt idx="0">
                  <c:v>7.9888138739141371E-2</c:v>
                </c:pt>
                <c:pt idx="1">
                  <c:v>8.1400579093694025E-2</c:v>
                </c:pt>
                <c:pt idx="2">
                  <c:v>0.10471526870706314</c:v>
                </c:pt>
                <c:pt idx="3">
                  <c:v>8.7613368036185801E-2</c:v>
                </c:pt>
              </c:numCache>
            </c:numRef>
          </c:val>
        </c:ser>
        <c:ser>
          <c:idx val="13"/>
          <c:order val="13"/>
          <c:tx>
            <c:strRef>
              <c:f>'areas de inversión'!$A$70</c:f>
              <c:strCache>
                <c:ptCount val="1"/>
                <c:pt idx="0">
                  <c:v>Recuperación borde costero</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inversión'!$B$70:$E$70</c:f>
              <c:numCache>
                <c:formatCode>0.0%</c:formatCode>
                <c:ptCount val="4"/>
                <c:pt idx="0">
                  <c:v>2.1510882792846729E-3</c:v>
                </c:pt>
                <c:pt idx="1">
                  <c:v>1.6426856413533819E-3</c:v>
                </c:pt>
                <c:pt idx="2">
                  <c:v>1.434560319808617E-3</c:v>
                </c:pt>
                <c:pt idx="3">
                  <c:v>1.7614604910099214E-3</c:v>
                </c:pt>
              </c:numCache>
            </c:numRef>
          </c:val>
        </c:ser>
        <c:ser>
          <c:idx val="14"/>
          <c:order val="14"/>
          <c:tx>
            <c:strRef>
              <c:f>'areas de inversión'!$A$71</c:f>
              <c:strCache>
                <c:ptCount val="1"/>
                <c:pt idx="0">
                  <c:v>Recuperación de espacios públicos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inversión'!$B$71:$E$71</c:f>
              <c:numCache>
                <c:formatCode>0.0%</c:formatCode>
                <c:ptCount val="4"/>
                <c:pt idx="0">
                  <c:v>9.8806825241996826E-2</c:v>
                </c:pt>
                <c:pt idx="1">
                  <c:v>4.8759956547530743E-2</c:v>
                </c:pt>
                <c:pt idx="2">
                  <c:v>4.8022485815868571E-2</c:v>
                </c:pt>
                <c:pt idx="3">
                  <c:v>6.6166108892168465E-2</c:v>
                </c:pt>
              </c:numCache>
            </c:numRef>
          </c:val>
        </c:ser>
        <c:ser>
          <c:idx val="15"/>
          <c:order val="15"/>
          <c:tx>
            <c:strRef>
              <c:f>'areas de inversión'!$A$72</c:f>
              <c:strCache>
                <c:ptCount val="1"/>
                <c:pt idx="0">
                  <c:v>Refugios peatonales y terminal de buses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inversión'!$B$72:$E$72</c:f>
              <c:numCache>
                <c:formatCode>0.0%</c:formatCode>
                <c:ptCount val="4"/>
                <c:pt idx="0">
                  <c:v>1.4201424844921356E-2</c:v>
                </c:pt>
                <c:pt idx="1">
                  <c:v>4.3278045315879561E-3</c:v>
                </c:pt>
                <c:pt idx="2">
                  <c:v>1.1684514306570089E-2</c:v>
                </c:pt>
                <c:pt idx="3">
                  <c:v>9.9323106006258769E-3</c:v>
                </c:pt>
              </c:numCache>
            </c:numRef>
          </c:val>
        </c:ser>
        <c:ser>
          <c:idx val="16"/>
          <c:order val="16"/>
          <c:tx>
            <c:strRef>
              <c:f>'areas de inversión'!$A$73</c:f>
              <c:strCache>
                <c:ptCount val="1"/>
                <c:pt idx="0">
                  <c:v>Reparación de cementerios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inversión'!$B$73:$E$73</c:f>
              <c:numCache>
                <c:formatCode>0.0%</c:formatCode>
                <c:ptCount val="4"/>
                <c:pt idx="0">
                  <c:v>1.2983229524425637E-2</c:v>
                </c:pt>
                <c:pt idx="1">
                  <c:v>6.1847177204871484E-3</c:v>
                </c:pt>
                <c:pt idx="2">
                  <c:v>1.8708523943116014E-2</c:v>
                </c:pt>
                <c:pt idx="3">
                  <c:v>1.220151212113036E-2</c:v>
                </c:pt>
              </c:numCache>
            </c:numRef>
          </c:val>
        </c:ser>
        <c:ser>
          <c:idx val="17"/>
          <c:order val="17"/>
          <c:tx>
            <c:strRef>
              <c:f>'areas de inversión'!$A$74</c:f>
              <c:strCache>
                <c:ptCount val="1"/>
                <c:pt idx="0">
                  <c:v>Sedes comunitarias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'areas de inversión'!$B$56:$E$56</c:f>
              <c:strCache>
                <c:ptCount val="4"/>
                <c:pt idx="0">
                  <c:v>2011</c:v>
                </c:pt>
                <c:pt idx="1">
                  <c:v>2012</c:v>
                </c:pt>
                <c:pt idx="2">
                  <c:v>2013</c:v>
                </c:pt>
                <c:pt idx="3">
                  <c:v>Trienio</c:v>
                </c:pt>
              </c:strCache>
            </c:strRef>
          </c:cat>
          <c:val>
            <c:numRef>
              <c:f>'areas de inversión'!$B$74:$E$74</c:f>
              <c:numCache>
                <c:formatCode>0.0%</c:formatCode>
                <c:ptCount val="4"/>
                <c:pt idx="0">
                  <c:v>6.7086339357354502E-2</c:v>
                </c:pt>
                <c:pt idx="1">
                  <c:v>8.6637528115410256E-2</c:v>
                </c:pt>
                <c:pt idx="2">
                  <c:v>7.7261646769099718E-2</c:v>
                </c:pt>
                <c:pt idx="3">
                  <c:v>7.7041760959529623E-2</c:v>
                </c:pt>
              </c:numCache>
            </c:numRef>
          </c:val>
        </c:ser>
        <c:ser>
          <c:idx val="18"/>
          <c:order val="18"/>
          <c:tx>
            <c:strRef>
              <c:f>'areas de inversión'!$A$75</c:f>
              <c:strCache>
                <c:ptCount val="1"/>
                <c:pt idx="0">
                  <c:v>Señaléticas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inversión'!$B$75:$E$75</c:f>
              <c:numCache>
                <c:formatCode>0.0%</c:formatCode>
                <c:ptCount val="4"/>
                <c:pt idx="0">
                  <c:v>4.7761349564152617E-3</c:v>
                </c:pt>
                <c:pt idx="1">
                  <c:v>1.1969858864383834E-3</c:v>
                </c:pt>
                <c:pt idx="2">
                  <c:v>5.5287369150791689E-3</c:v>
                </c:pt>
                <c:pt idx="3">
                  <c:v>3.7102968831406436E-3</c:v>
                </c:pt>
              </c:numCache>
            </c:numRef>
          </c:val>
        </c:ser>
        <c:ser>
          <c:idx val="19"/>
          <c:order val="19"/>
          <c:tx>
            <c:strRef>
              <c:f>'areas de inversión'!$A$76</c:f>
              <c:strCache>
                <c:ptCount val="1"/>
                <c:pt idx="0">
                  <c:v>Energización y alumbrado publ.</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inversión'!$B$76:$E$76</c:f>
              <c:numCache>
                <c:formatCode>0.0%</c:formatCode>
                <c:ptCount val="4"/>
                <c:pt idx="0">
                  <c:v>3.2236878673256031E-2</c:v>
                </c:pt>
                <c:pt idx="1">
                  <c:v>2.7483474455465156E-2</c:v>
                </c:pt>
                <c:pt idx="2">
                  <c:v>2.2161836288192925E-2</c:v>
                </c:pt>
                <c:pt idx="3">
                  <c:v>2.7617336281604149E-2</c:v>
                </c:pt>
              </c:numCache>
            </c:numRef>
          </c:val>
        </c:ser>
        <c:ser>
          <c:idx val="20"/>
          <c:order val="20"/>
          <c:tx>
            <c:strRef>
              <c:f>'areas de inversión'!$A$77</c:f>
              <c:strCache>
                <c:ptCount val="1"/>
                <c:pt idx="0">
                  <c:v>Teatros, centros culturales y bibliotecas</c:v>
                </c:pt>
              </c:strCache>
            </c:strRef>
          </c:tx>
          <c:invertIfNegative val="0"/>
          <c:dLbls>
            <c:delete val="1"/>
          </c:dLbls>
          <c:cat>
            <c:strRef>
              <c:f>'areas de inversión'!$B$56:$E$56</c:f>
              <c:strCache>
                <c:ptCount val="4"/>
                <c:pt idx="0">
                  <c:v>2011</c:v>
                </c:pt>
                <c:pt idx="1">
                  <c:v>2012</c:v>
                </c:pt>
                <c:pt idx="2">
                  <c:v>2013</c:v>
                </c:pt>
                <c:pt idx="3">
                  <c:v>Trienio</c:v>
                </c:pt>
              </c:strCache>
            </c:strRef>
          </c:cat>
          <c:val>
            <c:numRef>
              <c:f>'areas de inversión'!$B$77:$E$77</c:f>
              <c:numCache>
                <c:formatCode>0.0%</c:formatCode>
                <c:ptCount val="4"/>
                <c:pt idx="0">
                  <c:v>5.4215728393921274E-3</c:v>
                </c:pt>
                <c:pt idx="1">
                  <c:v>6.0619429478688969E-3</c:v>
                </c:pt>
                <c:pt idx="2">
                  <c:v>2.957825496226669E-3</c:v>
                </c:pt>
                <c:pt idx="3">
                  <c:v>4.9384303944647531E-3</c:v>
                </c:pt>
              </c:numCache>
            </c:numRef>
          </c:val>
        </c:ser>
        <c:dLbls>
          <c:dLblPos val="ctr"/>
          <c:showLegendKey val="0"/>
          <c:showVal val="1"/>
          <c:showCatName val="0"/>
          <c:showSerName val="0"/>
          <c:showPercent val="0"/>
          <c:showBubbleSize val="0"/>
        </c:dLbls>
        <c:gapWidth val="150"/>
        <c:overlap val="100"/>
        <c:axId val="482367752"/>
        <c:axId val="482368144"/>
      </c:barChart>
      <c:catAx>
        <c:axId val="482367752"/>
        <c:scaling>
          <c:orientation val="minMax"/>
        </c:scaling>
        <c:delete val="0"/>
        <c:axPos val="l"/>
        <c:numFmt formatCode="General" sourceLinked="0"/>
        <c:majorTickMark val="out"/>
        <c:minorTickMark val="none"/>
        <c:tickLblPos val="nextTo"/>
        <c:crossAx val="482368144"/>
        <c:crosses val="autoZero"/>
        <c:auto val="1"/>
        <c:lblAlgn val="ctr"/>
        <c:lblOffset val="100"/>
        <c:noMultiLvlLbl val="0"/>
      </c:catAx>
      <c:valAx>
        <c:axId val="482368144"/>
        <c:scaling>
          <c:orientation val="minMax"/>
        </c:scaling>
        <c:delete val="0"/>
        <c:axPos val="b"/>
        <c:majorGridlines/>
        <c:numFmt formatCode="0%" sourceLinked="1"/>
        <c:majorTickMark val="out"/>
        <c:minorTickMark val="none"/>
        <c:tickLblPos val="nextTo"/>
        <c:crossAx val="482367752"/>
        <c:crosses val="autoZero"/>
        <c:crossBetween val="between"/>
      </c:valAx>
    </c:plotArea>
    <c:legend>
      <c:legendPos val="b"/>
      <c:layout>
        <c:manualLayout>
          <c:xMode val="edge"/>
          <c:yMode val="edge"/>
          <c:x val="8.5896085799865643E-3"/>
          <c:y val="0.65696047487734921"/>
          <c:w val="0.98956885389326332"/>
          <c:h val="0.3347942899542620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'Resumen II Todo'!$F$3</c:f>
              <c:strCache>
                <c:ptCount val="1"/>
                <c:pt idx="0">
                  <c:v>Línea 100 Pasarelas</c:v>
                </c:pt>
              </c:strCache>
            </c:strRef>
          </c:tx>
          <c:invertIfNegative val="0"/>
          <c:cat>
            <c:strRef>
              <c:f>('Resumen II Todo'!$B$5,'Resumen II Todo'!$B$7,'Resumen II Todo'!$B$9,'Resumen II Todo'!$B$11)</c:f>
              <c:strCache>
                <c:ptCount val="4"/>
                <c:pt idx="0">
                  <c:v>2011</c:v>
                </c:pt>
                <c:pt idx="1">
                  <c:v>2012</c:v>
                </c:pt>
                <c:pt idx="2">
                  <c:v>2013</c:v>
                </c:pt>
                <c:pt idx="3">
                  <c:v>TRIENIO</c:v>
                </c:pt>
              </c:strCache>
            </c:strRef>
          </c:cat>
          <c:val>
            <c:numRef>
              <c:f>('Resumen II Todo'!$F$5,'Resumen II Todo'!$F$7,'Resumen II Todo'!$F$9,'Resumen II Todo'!$F$11)</c:f>
              <c:numCache>
                <c:formatCode>#,##0</c:formatCode>
                <c:ptCount val="4"/>
                <c:pt idx="0">
                  <c:v>0</c:v>
                </c:pt>
                <c:pt idx="1">
                  <c:v>1655324558</c:v>
                </c:pt>
                <c:pt idx="2">
                  <c:v>640198227</c:v>
                </c:pt>
                <c:pt idx="3">
                  <c:v>2295522785</c:v>
                </c:pt>
              </c:numCache>
            </c:numRef>
          </c:val>
        </c:ser>
        <c:ser>
          <c:idx val="2"/>
          <c:order val="1"/>
          <c:tx>
            <c:strRef>
              <c:f>'Resumen II Todo'!$G$3</c:f>
              <c:strCache>
                <c:ptCount val="1"/>
                <c:pt idx="0">
                  <c:v>Línea Fútbol Calle</c:v>
                </c:pt>
              </c:strCache>
            </c:strRef>
          </c:tx>
          <c:invertIfNegative val="0"/>
          <c:cat>
            <c:strRef>
              <c:f>('Resumen II Todo'!$B$5,'Resumen II Todo'!$B$7,'Resumen II Todo'!$B$9,'Resumen II Todo'!$B$11)</c:f>
              <c:strCache>
                <c:ptCount val="4"/>
                <c:pt idx="0">
                  <c:v>2011</c:v>
                </c:pt>
                <c:pt idx="1">
                  <c:v>2012</c:v>
                </c:pt>
                <c:pt idx="2">
                  <c:v>2013</c:v>
                </c:pt>
                <c:pt idx="3">
                  <c:v>TRIENIO</c:v>
                </c:pt>
              </c:strCache>
            </c:strRef>
          </c:cat>
          <c:val>
            <c:numRef>
              <c:f>('Resumen II Todo'!$G$5,'Resumen II Todo'!$G$7,'Resumen II Todo'!$G$9,'Resumen II Todo'!$G$11)</c:f>
              <c:numCache>
                <c:formatCode>#,##0</c:formatCode>
                <c:ptCount val="4"/>
                <c:pt idx="0">
                  <c:v>0</c:v>
                </c:pt>
                <c:pt idx="1">
                  <c:v>0</c:v>
                </c:pt>
                <c:pt idx="2">
                  <c:v>289407877</c:v>
                </c:pt>
                <c:pt idx="3">
                  <c:v>289407877</c:v>
                </c:pt>
              </c:numCache>
            </c:numRef>
          </c:val>
        </c:ser>
        <c:ser>
          <c:idx val="0"/>
          <c:order val="2"/>
          <c:tx>
            <c:strRef>
              <c:f>'Resumen II Todo'!$E$3</c:f>
              <c:strCache>
                <c:ptCount val="1"/>
                <c:pt idx="0">
                  <c:v>Línea EVS</c:v>
                </c:pt>
              </c:strCache>
            </c:strRef>
          </c:tx>
          <c:invertIfNegative val="0"/>
          <c:val>
            <c:numRef>
              <c:f>('Resumen II Todo'!$E$5,'Resumen II Todo'!$E$7,'Resumen II Todo'!$E$9,'Resumen II Todo'!$E$11)</c:f>
              <c:numCache>
                <c:formatCode>#,##0</c:formatCode>
                <c:ptCount val="4"/>
                <c:pt idx="0">
                  <c:v>0</c:v>
                </c:pt>
                <c:pt idx="1">
                  <c:v>220436600</c:v>
                </c:pt>
                <c:pt idx="2">
                  <c:v>1170985164</c:v>
                </c:pt>
                <c:pt idx="3">
                  <c:v>1391421764</c:v>
                </c:pt>
              </c:numCache>
            </c:numRef>
          </c:val>
        </c:ser>
        <c:dLbls>
          <c:showLegendKey val="0"/>
          <c:showVal val="0"/>
          <c:showCatName val="0"/>
          <c:showSerName val="0"/>
          <c:showPercent val="0"/>
          <c:showBubbleSize val="0"/>
        </c:dLbls>
        <c:gapWidth val="150"/>
        <c:axId val="482368928"/>
        <c:axId val="482369320"/>
      </c:barChart>
      <c:catAx>
        <c:axId val="482368928"/>
        <c:scaling>
          <c:orientation val="minMax"/>
        </c:scaling>
        <c:delete val="0"/>
        <c:axPos val="b"/>
        <c:numFmt formatCode="General" sourceLinked="0"/>
        <c:majorTickMark val="out"/>
        <c:minorTickMark val="none"/>
        <c:tickLblPos val="nextTo"/>
        <c:crossAx val="482369320"/>
        <c:crosses val="autoZero"/>
        <c:auto val="1"/>
        <c:lblAlgn val="ctr"/>
        <c:lblOffset val="100"/>
        <c:noMultiLvlLbl val="0"/>
      </c:catAx>
      <c:valAx>
        <c:axId val="482369320"/>
        <c:scaling>
          <c:orientation val="minMax"/>
        </c:scaling>
        <c:delete val="0"/>
        <c:axPos val="l"/>
        <c:majorGridlines/>
        <c:numFmt formatCode="#,##0" sourceLinked="1"/>
        <c:majorTickMark val="out"/>
        <c:minorTickMark val="none"/>
        <c:tickLblPos val="nextTo"/>
        <c:crossAx val="4823689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'Resumen II Todo'!$F$3</c:f>
              <c:strCache>
                <c:ptCount val="1"/>
                <c:pt idx="0">
                  <c:v>Línea 100 Pasarelas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('Resumen II Todo'!$B$5,'Resumen II Todo'!$B$7,'Resumen II Todo'!$B$9,'Resumen II Todo'!$B$11)</c:f>
              <c:strCache>
                <c:ptCount val="4"/>
                <c:pt idx="0">
                  <c:v>2011</c:v>
                </c:pt>
                <c:pt idx="1">
                  <c:v>2012</c:v>
                </c:pt>
                <c:pt idx="2">
                  <c:v>2013</c:v>
                </c:pt>
                <c:pt idx="3">
                  <c:v>TRIENIO</c:v>
                </c:pt>
              </c:strCache>
            </c:strRef>
          </c:cat>
          <c:val>
            <c:numRef>
              <c:f>('Resumen II Todo'!$F$4,'Resumen II Todo'!$F$6,'Resumen II Todo'!$F$8,'Resumen II Todo'!$F$10)</c:f>
              <c:numCache>
                <c:formatCode>#,##0</c:formatCode>
                <c:ptCount val="4"/>
                <c:pt idx="0">
                  <c:v>0</c:v>
                </c:pt>
                <c:pt idx="1">
                  <c:v>48</c:v>
                </c:pt>
                <c:pt idx="2">
                  <c:v>15</c:v>
                </c:pt>
                <c:pt idx="3">
                  <c:v>63</c:v>
                </c:pt>
              </c:numCache>
            </c:numRef>
          </c:val>
        </c:ser>
        <c:ser>
          <c:idx val="2"/>
          <c:order val="1"/>
          <c:tx>
            <c:strRef>
              <c:f>'Resumen II Todo'!$G$3</c:f>
              <c:strCache>
                <c:ptCount val="1"/>
                <c:pt idx="0">
                  <c:v>Línea Fútbol Calle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('Resumen II Todo'!$B$5,'Resumen II Todo'!$B$7,'Resumen II Todo'!$B$9,'Resumen II Todo'!$B$11)</c:f>
              <c:strCache>
                <c:ptCount val="4"/>
                <c:pt idx="0">
                  <c:v>2011</c:v>
                </c:pt>
                <c:pt idx="1">
                  <c:v>2012</c:v>
                </c:pt>
                <c:pt idx="2">
                  <c:v>2013</c:v>
                </c:pt>
                <c:pt idx="3">
                  <c:v>TRIENIO</c:v>
                </c:pt>
              </c:strCache>
            </c:strRef>
          </c:cat>
          <c:val>
            <c:numRef>
              <c:f>('Resumen II Todo'!$G$4,'Resumen II Todo'!$G$6,'Resumen II Todo'!$G$8,'Resumen II Todo'!$G$10)</c:f>
              <c:numCache>
                <c:formatCode>#,##0</c:formatCode>
                <c:ptCount val="4"/>
                <c:pt idx="0">
                  <c:v>0</c:v>
                </c:pt>
                <c:pt idx="1">
                  <c:v>0</c:v>
                </c:pt>
                <c:pt idx="2">
                  <c:v>7</c:v>
                </c:pt>
                <c:pt idx="3">
                  <c:v>7</c:v>
                </c:pt>
              </c:numCache>
            </c:numRef>
          </c:val>
        </c:ser>
        <c:ser>
          <c:idx val="0"/>
          <c:order val="2"/>
          <c:tx>
            <c:strRef>
              <c:f>'Resumen II Todo'!$E$3</c:f>
              <c:strCache>
                <c:ptCount val="1"/>
                <c:pt idx="0">
                  <c:v>Línea EVS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('Resumen II Todo'!$E$4,'Resumen II Todo'!$E$6,'Resumen II Todo'!$E$8,'Resumen II Todo'!$E$10)</c:f>
              <c:numCache>
                <c:formatCode>#,##0</c:formatCode>
                <c:ptCount val="4"/>
                <c:pt idx="0">
                  <c:v>0</c:v>
                </c:pt>
                <c:pt idx="1">
                  <c:v>7</c:v>
                </c:pt>
                <c:pt idx="2">
                  <c:v>35</c:v>
                </c:pt>
                <c:pt idx="3">
                  <c:v>42</c:v>
                </c:pt>
              </c:numCache>
            </c:numRef>
          </c:val>
        </c:ser>
        <c:dLbls>
          <c:dLblPos val="outEnd"/>
          <c:showLegendKey val="0"/>
          <c:showVal val="1"/>
          <c:showCatName val="0"/>
          <c:showSerName val="0"/>
          <c:showPercent val="0"/>
          <c:showBubbleSize val="0"/>
        </c:dLbls>
        <c:gapWidth val="150"/>
        <c:axId val="482370104"/>
        <c:axId val="482370496"/>
      </c:barChart>
      <c:catAx>
        <c:axId val="482370104"/>
        <c:scaling>
          <c:orientation val="minMax"/>
        </c:scaling>
        <c:delete val="0"/>
        <c:axPos val="b"/>
        <c:numFmt formatCode="General" sourceLinked="0"/>
        <c:majorTickMark val="out"/>
        <c:minorTickMark val="none"/>
        <c:tickLblPos val="nextTo"/>
        <c:crossAx val="482370496"/>
        <c:crosses val="autoZero"/>
        <c:auto val="1"/>
        <c:lblAlgn val="ctr"/>
        <c:lblOffset val="100"/>
        <c:noMultiLvlLbl val="0"/>
      </c:catAx>
      <c:valAx>
        <c:axId val="482370496"/>
        <c:scaling>
          <c:orientation val="minMax"/>
        </c:scaling>
        <c:delete val="0"/>
        <c:axPos val="l"/>
        <c:majorGridlines/>
        <c:numFmt formatCode="#,##0" sourceLinked="1"/>
        <c:majorTickMark val="out"/>
        <c:minorTickMark val="none"/>
        <c:tickLblPos val="nextTo"/>
        <c:crossAx val="48237010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Hoja2!$K$48</c:f>
              <c:strCache>
                <c:ptCount val="1"/>
                <c:pt idx="0">
                  <c:v>EMERGENCIA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Hoja2!$L$47:$O$47</c:f>
              <c:strCache>
                <c:ptCount val="4"/>
                <c:pt idx="0">
                  <c:v>2011</c:v>
                </c:pt>
                <c:pt idx="1">
                  <c:v>2012</c:v>
                </c:pt>
                <c:pt idx="2">
                  <c:v>2013</c:v>
                </c:pt>
                <c:pt idx="3">
                  <c:v>ACUMULADO</c:v>
                </c:pt>
              </c:strCache>
            </c:strRef>
          </c:cat>
          <c:val>
            <c:numRef>
              <c:f>Hoja2!$L$48:$O$48</c:f>
              <c:numCache>
                <c:formatCode>0.00%</c:formatCode>
                <c:ptCount val="4"/>
                <c:pt idx="0">
                  <c:v>0.67610778653504711</c:v>
                </c:pt>
                <c:pt idx="1">
                  <c:v>0.83547444007571703</c:v>
                </c:pt>
                <c:pt idx="2">
                  <c:v>0.80903710309492061</c:v>
                </c:pt>
                <c:pt idx="3">
                  <c:v>0.77225343036488803</c:v>
                </c:pt>
              </c:numCache>
            </c:numRef>
          </c:val>
        </c:ser>
        <c:ser>
          <c:idx val="1"/>
          <c:order val="1"/>
          <c:tx>
            <c:strRef>
              <c:f>Hoja2!$K$49</c:f>
              <c:strCache>
                <c:ptCount val="1"/>
                <c:pt idx="0">
                  <c:v>TRADICIONAL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Hoja2!$L$47:$O$47</c:f>
              <c:strCache>
                <c:ptCount val="4"/>
                <c:pt idx="0">
                  <c:v>2011</c:v>
                </c:pt>
                <c:pt idx="1">
                  <c:v>2012</c:v>
                </c:pt>
                <c:pt idx="2">
                  <c:v>2013</c:v>
                </c:pt>
                <c:pt idx="3">
                  <c:v>ACUMULADO</c:v>
                </c:pt>
              </c:strCache>
            </c:strRef>
          </c:cat>
          <c:val>
            <c:numRef>
              <c:f>Hoja2!$L$49:$O$49</c:f>
              <c:numCache>
                <c:formatCode>0.00%</c:formatCode>
                <c:ptCount val="4"/>
                <c:pt idx="0">
                  <c:v>0.32389221346495289</c:v>
                </c:pt>
                <c:pt idx="1">
                  <c:v>0.16452555992428297</c:v>
                </c:pt>
                <c:pt idx="2">
                  <c:v>0.19096289690507939</c:v>
                </c:pt>
                <c:pt idx="3">
                  <c:v>0.22774656963511197</c:v>
                </c:pt>
              </c:numCache>
            </c:numRef>
          </c:val>
        </c:ser>
        <c:dLbls>
          <c:dLblPos val="ctr"/>
          <c:showLegendKey val="0"/>
          <c:showVal val="1"/>
          <c:showCatName val="0"/>
          <c:showSerName val="0"/>
          <c:showPercent val="0"/>
          <c:showBubbleSize val="0"/>
        </c:dLbls>
        <c:gapWidth val="150"/>
        <c:overlap val="100"/>
        <c:axId val="482371280"/>
        <c:axId val="482371672"/>
      </c:barChart>
      <c:catAx>
        <c:axId val="48237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82371672"/>
        <c:crosses val="autoZero"/>
        <c:auto val="1"/>
        <c:lblAlgn val="ctr"/>
        <c:lblOffset val="100"/>
        <c:noMultiLvlLbl val="0"/>
      </c:catAx>
      <c:valAx>
        <c:axId val="4823716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48237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9FDF-FAFE-4345-8752-E673F798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32</Pages>
  <Words>8270</Words>
  <Characters>45489</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SUBDERE</dc:creator>
  <cp:lastModifiedBy>Luciano Antonio Ortiz Cabrera</cp:lastModifiedBy>
  <cp:revision>14</cp:revision>
  <cp:lastPrinted>2014-10-10T20:03:00Z</cp:lastPrinted>
  <dcterms:created xsi:type="dcterms:W3CDTF">2014-11-05T14:38:00Z</dcterms:created>
  <dcterms:modified xsi:type="dcterms:W3CDTF">2014-12-04T21:19:00Z</dcterms:modified>
</cp:coreProperties>
</file>