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74F" w:rsidRPr="00BE32AE" w:rsidRDefault="005E37C4" w:rsidP="000C1827">
      <w:pPr>
        <w:spacing w:after="240" w:line="288" w:lineRule="auto"/>
        <w:jc w:val="center"/>
        <w:rPr>
          <w:rFonts w:ascii="Garamond" w:hAnsi="Garamond"/>
          <w:b/>
          <w:sz w:val="24"/>
          <w:szCs w:val="24"/>
          <w:u w:val="single"/>
        </w:rPr>
      </w:pPr>
      <w:bookmarkStart w:id="0" w:name="_GoBack"/>
      <w:bookmarkEnd w:id="0"/>
      <w:r w:rsidRPr="00BE32AE">
        <w:rPr>
          <w:rFonts w:ascii="Garamond" w:hAnsi="Garamond"/>
          <w:b/>
          <w:sz w:val="24"/>
          <w:szCs w:val="24"/>
          <w:u w:val="single"/>
        </w:rPr>
        <w:t>Evolución de las Regiones Mineras de Chile</w:t>
      </w:r>
    </w:p>
    <w:p w:rsidR="005E37C4" w:rsidRPr="00BE32AE" w:rsidRDefault="001F15EC" w:rsidP="000C1827">
      <w:pPr>
        <w:spacing w:after="240" w:line="288" w:lineRule="auto"/>
        <w:jc w:val="right"/>
        <w:rPr>
          <w:rFonts w:ascii="Garamond" w:hAnsi="Garamond"/>
          <w:sz w:val="24"/>
          <w:szCs w:val="24"/>
        </w:rPr>
      </w:pPr>
      <w:r w:rsidRPr="00BE32AE">
        <w:rPr>
          <w:rFonts w:ascii="Garamond" w:hAnsi="Garamond"/>
          <w:sz w:val="24"/>
          <w:szCs w:val="24"/>
        </w:rPr>
        <w:t>Roberto GilletBebin</w:t>
      </w:r>
    </w:p>
    <w:p w:rsidR="00FF64C1" w:rsidRPr="00BE32AE" w:rsidRDefault="00AA159E" w:rsidP="000C1827">
      <w:pPr>
        <w:pStyle w:val="Prrafodelista"/>
        <w:numPr>
          <w:ilvl w:val="0"/>
          <w:numId w:val="6"/>
        </w:numPr>
        <w:tabs>
          <w:tab w:val="left" w:pos="426"/>
        </w:tabs>
        <w:spacing w:after="240" w:line="288" w:lineRule="auto"/>
        <w:ind w:left="0" w:firstLine="0"/>
        <w:jc w:val="both"/>
        <w:rPr>
          <w:rFonts w:ascii="Garamond" w:hAnsi="Garamond"/>
          <w:b/>
          <w:sz w:val="24"/>
          <w:szCs w:val="24"/>
        </w:rPr>
      </w:pPr>
      <w:r w:rsidRPr="00BE32AE">
        <w:rPr>
          <w:rFonts w:ascii="Garamond" w:hAnsi="Garamond"/>
          <w:b/>
          <w:sz w:val="24"/>
          <w:szCs w:val="24"/>
        </w:rPr>
        <w:t>Introducción</w:t>
      </w:r>
    </w:p>
    <w:p w:rsidR="00BE2DFA" w:rsidRDefault="00AF0657" w:rsidP="000C1827">
      <w:pPr>
        <w:tabs>
          <w:tab w:val="left" w:pos="180"/>
        </w:tabs>
        <w:spacing w:after="240" w:line="288" w:lineRule="auto"/>
        <w:jc w:val="both"/>
        <w:rPr>
          <w:rFonts w:ascii="Garamond" w:hAnsi="Garamond"/>
          <w:sz w:val="24"/>
          <w:szCs w:val="24"/>
        </w:rPr>
      </w:pPr>
      <w:r w:rsidRPr="00BE32AE">
        <w:rPr>
          <w:rFonts w:ascii="Garamond" w:hAnsi="Garamond"/>
          <w:sz w:val="24"/>
          <w:szCs w:val="24"/>
        </w:rPr>
        <w:t xml:space="preserve">Durante los </w:t>
      </w:r>
      <w:r w:rsidR="00BE2DFA" w:rsidRPr="00BE32AE">
        <w:rPr>
          <w:rFonts w:ascii="Garamond" w:hAnsi="Garamond"/>
          <w:sz w:val="24"/>
          <w:szCs w:val="24"/>
        </w:rPr>
        <w:t xml:space="preserve">últimos </w:t>
      </w:r>
      <w:r w:rsidR="00545CD0" w:rsidRPr="00BE32AE">
        <w:rPr>
          <w:rFonts w:ascii="Garamond" w:hAnsi="Garamond"/>
          <w:sz w:val="24"/>
          <w:szCs w:val="24"/>
        </w:rPr>
        <w:t>26</w:t>
      </w:r>
      <w:r w:rsidR="00BE2DFA" w:rsidRPr="00BE32AE">
        <w:rPr>
          <w:rFonts w:ascii="Garamond" w:hAnsi="Garamond"/>
          <w:sz w:val="24"/>
          <w:szCs w:val="24"/>
        </w:rPr>
        <w:t xml:space="preserve"> años (19</w:t>
      </w:r>
      <w:r w:rsidR="00545CD0" w:rsidRPr="00BE32AE">
        <w:rPr>
          <w:rFonts w:ascii="Garamond" w:hAnsi="Garamond"/>
          <w:sz w:val="24"/>
          <w:szCs w:val="24"/>
        </w:rPr>
        <w:t>85</w:t>
      </w:r>
      <w:r w:rsidR="00BE2DFA" w:rsidRPr="00BE32AE">
        <w:rPr>
          <w:rFonts w:ascii="Garamond" w:hAnsi="Garamond"/>
          <w:sz w:val="24"/>
          <w:szCs w:val="24"/>
        </w:rPr>
        <w:t xml:space="preserve"> – 20</w:t>
      </w:r>
      <w:r w:rsidR="00545CD0" w:rsidRPr="00BE32AE">
        <w:rPr>
          <w:rFonts w:ascii="Garamond" w:hAnsi="Garamond"/>
          <w:sz w:val="24"/>
          <w:szCs w:val="24"/>
        </w:rPr>
        <w:t>11</w:t>
      </w:r>
      <w:r w:rsidR="00BE2DFA" w:rsidRPr="00BE32AE">
        <w:rPr>
          <w:rFonts w:ascii="Garamond" w:hAnsi="Garamond"/>
          <w:sz w:val="24"/>
          <w:szCs w:val="24"/>
        </w:rPr>
        <w:t xml:space="preserve">) </w:t>
      </w:r>
      <w:r w:rsidR="00A65F47" w:rsidRPr="00BE32AE">
        <w:rPr>
          <w:rFonts w:ascii="Garamond" w:hAnsi="Garamond"/>
          <w:sz w:val="24"/>
          <w:szCs w:val="24"/>
        </w:rPr>
        <w:t>Chile experimentó</w:t>
      </w:r>
      <w:r w:rsidR="00F91A4A" w:rsidRPr="00BE32AE">
        <w:rPr>
          <w:rFonts w:ascii="Garamond" w:hAnsi="Garamond"/>
          <w:sz w:val="24"/>
          <w:szCs w:val="24"/>
        </w:rPr>
        <w:t xml:space="preserve"> un importante crecimiento en su economía que significó prácticamente triplicar su producto po</w:t>
      </w:r>
      <w:r w:rsidR="00BE2DFA" w:rsidRPr="00BE32AE">
        <w:rPr>
          <w:rFonts w:ascii="Garamond" w:hAnsi="Garamond"/>
          <w:sz w:val="24"/>
          <w:szCs w:val="24"/>
        </w:rPr>
        <w:t xml:space="preserve">r </w:t>
      </w:r>
      <w:r w:rsidR="00F91A4A" w:rsidRPr="00BE32AE">
        <w:rPr>
          <w:rFonts w:ascii="Garamond" w:hAnsi="Garamond"/>
          <w:sz w:val="24"/>
          <w:szCs w:val="24"/>
        </w:rPr>
        <w:t xml:space="preserve">habitante, en </w:t>
      </w:r>
      <w:r w:rsidR="00545CD0" w:rsidRPr="00BE32AE">
        <w:rPr>
          <w:rFonts w:ascii="Garamond" w:hAnsi="Garamond"/>
          <w:sz w:val="24"/>
          <w:szCs w:val="24"/>
        </w:rPr>
        <w:t>1</w:t>
      </w:r>
      <w:r w:rsidR="006C23AF" w:rsidRPr="00BE32AE">
        <w:rPr>
          <w:rFonts w:ascii="Garamond" w:hAnsi="Garamond"/>
          <w:sz w:val="24"/>
          <w:szCs w:val="24"/>
        </w:rPr>
        <w:t>80,1</w:t>
      </w:r>
      <w:r w:rsidR="00545CD0" w:rsidRPr="00BE32AE">
        <w:rPr>
          <w:rFonts w:ascii="Garamond" w:hAnsi="Garamond"/>
          <w:sz w:val="24"/>
          <w:szCs w:val="24"/>
        </w:rPr>
        <w:t>%</w:t>
      </w:r>
      <w:r w:rsidR="003F73B2" w:rsidRPr="00BE32AE">
        <w:rPr>
          <w:rFonts w:ascii="Garamond" w:hAnsi="Garamond"/>
          <w:sz w:val="24"/>
          <w:szCs w:val="24"/>
        </w:rPr>
        <w:t>, que equivale a 4,</w:t>
      </w:r>
      <w:r w:rsidR="006C23AF" w:rsidRPr="00BE32AE">
        <w:rPr>
          <w:rFonts w:ascii="Garamond" w:hAnsi="Garamond"/>
          <w:sz w:val="24"/>
          <w:szCs w:val="24"/>
        </w:rPr>
        <w:t>0</w:t>
      </w:r>
      <w:r w:rsidR="00545CD0" w:rsidRPr="00BE32AE">
        <w:rPr>
          <w:rFonts w:ascii="Garamond" w:hAnsi="Garamond"/>
          <w:sz w:val="24"/>
          <w:szCs w:val="24"/>
        </w:rPr>
        <w:t xml:space="preserve">% </w:t>
      </w:r>
      <w:r w:rsidR="00F91A4A" w:rsidRPr="00BE32AE">
        <w:rPr>
          <w:rFonts w:ascii="Garamond" w:hAnsi="Garamond"/>
          <w:sz w:val="24"/>
          <w:szCs w:val="24"/>
        </w:rPr>
        <w:t xml:space="preserve">en </w:t>
      </w:r>
      <w:r w:rsidR="00545CD0" w:rsidRPr="00BE32AE">
        <w:rPr>
          <w:rFonts w:ascii="Garamond" w:hAnsi="Garamond"/>
          <w:sz w:val="24"/>
          <w:szCs w:val="24"/>
        </w:rPr>
        <w:t>promedio anual</w:t>
      </w:r>
      <w:r w:rsidR="003F73B2" w:rsidRPr="00BE32AE">
        <w:rPr>
          <w:rFonts w:ascii="Garamond" w:hAnsi="Garamond"/>
          <w:sz w:val="24"/>
          <w:szCs w:val="24"/>
        </w:rPr>
        <w:t xml:space="preserve">. </w:t>
      </w:r>
      <w:r w:rsidR="006C4B1E" w:rsidRPr="00BE32AE">
        <w:rPr>
          <w:rFonts w:ascii="Garamond" w:hAnsi="Garamond"/>
          <w:sz w:val="24"/>
          <w:szCs w:val="24"/>
        </w:rPr>
        <w:t>Sin embargo, e</w:t>
      </w:r>
      <w:r w:rsidR="00CC46DB" w:rsidRPr="00BE32AE">
        <w:rPr>
          <w:rFonts w:ascii="Garamond" w:hAnsi="Garamond"/>
          <w:sz w:val="24"/>
          <w:szCs w:val="24"/>
        </w:rPr>
        <w:t xml:space="preserve">ste crecimiento, al igual que </w:t>
      </w:r>
      <w:r w:rsidR="009B2E29" w:rsidRPr="00BE32AE">
        <w:rPr>
          <w:rFonts w:ascii="Garamond" w:hAnsi="Garamond"/>
          <w:sz w:val="24"/>
          <w:szCs w:val="24"/>
        </w:rPr>
        <w:t xml:space="preserve">su </w:t>
      </w:r>
      <w:r w:rsidR="00CC46DB" w:rsidRPr="00BE32AE">
        <w:rPr>
          <w:rFonts w:ascii="Garamond" w:hAnsi="Garamond"/>
          <w:sz w:val="24"/>
          <w:szCs w:val="24"/>
        </w:rPr>
        <w:t>geografía</w:t>
      </w:r>
      <w:r w:rsidR="00F91A4A" w:rsidRPr="00BE32AE">
        <w:rPr>
          <w:rFonts w:ascii="Garamond" w:hAnsi="Garamond"/>
          <w:sz w:val="24"/>
          <w:szCs w:val="24"/>
        </w:rPr>
        <w:t xml:space="preserve"> ha sido desigual y diverso, </w:t>
      </w:r>
      <w:r w:rsidR="00CC46DB" w:rsidRPr="00BE32AE">
        <w:rPr>
          <w:rFonts w:ascii="Garamond" w:hAnsi="Garamond"/>
          <w:sz w:val="24"/>
          <w:szCs w:val="24"/>
        </w:rPr>
        <w:t xml:space="preserve">fluctuando entre </w:t>
      </w:r>
      <w:r w:rsidR="00BE2DFA" w:rsidRPr="00BE32AE">
        <w:rPr>
          <w:rFonts w:ascii="Garamond" w:hAnsi="Garamond"/>
          <w:sz w:val="24"/>
          <w:szCs w:val="24"/>
        </w:rPr>
        <w:t>un 2</w:t>
      </w:r>
      <w:r w:rsidR="00D25E7F" w:rsidRPr="00BE32AE">
        <w:rPr>
          <w:rFonts w:ascii="Garamond" w:hAnsi="Garamond"/>
          <w:sz w:val="24"/>
          <w:szCs w:val="24"/>
        </w:rPr>
        <w:t>97,3</w:t>
      </w:r>
      <w:r w:rsidR="00BE2DFA" w:rsidRPr="00BE32AE">
        <w:rPr>
          <w:rFonts w:ascii="Garamond" w:hAnsi="Garamond"/>
          <w:sz w:val="24"/>
          <w:szCs w:val="24"/>
        </w:rPr>
        <w:t>% para Atacama</w:t>
      </w:r>
      <w:r w:rsidR="00D25E7F" w:rsidRPr="00BE32AE">
        <w:rPr>
          <w:rFonts w:ascii="Garamond" w:hAnsi="Garamond"/>
          <w:sz w:val="24"/>
          <w:szCs w:val="24"/>
        </w:rPr>
        <w:t xml:space="preserve"> (5,4% anual)</w:t>
      </w:r>
      <w:r w:rsidR="00BE2DFA" w:rsidRPr="00BE32AE">
        <w:rPr>
          <w:rFonts w:ascii="Garamond" w:hAnsi="Garamond"/>
          <w:sz w:val="24"/>
          <w:szCs w:val="24"/>
        </w:rPr>
        <w:t xml:space="preserve">, y un casi estacionario </w:t>
      </w:r>
      <w:r w:rsidR="00D25E7F" w:rsidRPr="00BE32AE">
        <w:rPr>
          <w:rFonts w:ascii="Garamond" w:hAnsi="Garamond"/>
          <w:sz w:val="24"/>
          <w:szCs w:val="24"/>
        </w:rPr>
        <w:t>30,1</w:t>
      </w:r>
      <w:r w:rsidR="00BE2DFA" w:rsidRPr="00BE32AE">
        <w:rPr>
          <w:rFonts w:ascii="Garamond" w:hAnsi="Garamond"/>
          <w:sz w:val="24"/>
          <w:szCs w:val="24"/>
        </w:rPr>
        <w:t>% para Magallanes</w:t>
      </w:r>
      <w:r w:rsidR="00D25E7F" w:rsidRPr="00BE32AE">
        <w:rPr>
          <w:rFonts w:ascii="Garamond" w:hAnsi="Garamond"/>
          <w:sz w:val="24"/>
          <w:szCs w:val="24"/>
        </w:rPr>
        <w:t xml:space="preserve"> (1,0% anual)</w:t>
      </w:r>
      <w:r w:rsidR="00BE2DFA" w:rsidRPr="00BE32AE">
        <w:rPr>
          <w:rFonts w:ascii="Garamond" w:hAnsi="Garamond"/>
          <w:sz w:val="24"/>
          <w:szCs w:val="24"/>
        </w:rPr>
        <w:t xml:space="preserve">.  </w:t>
      </w:r>
      <w:r w:rsidR="00F91A4A" w:rsidRPr="00BE32AE">
        <w:rPr>
          <w:rFonts w:ascii="Garamond" w:hAnsi="Garamond"/>
          <w:sz w:val="24"/>
          <w:szCs w:val="24"/>
        </w:rPr>
        <w:t xml:space="preserve">En las </w:t>
      </w:r>
      <w:r w:rsidR="00BE2DFA" w:rsidRPr="00BE32AE">
        <w:rPr>
          <w:rFonts w:ascii="Garamond" w:hAnsi="Garamond"/>
          <w:sz w:val="24"/>
          <w:szCs w:val="24"/>
        </w:rPr>
        <w:t xml:space="preserve">regiones </w:t>
      </w:r>
      <w:r w:rsidR="00CC46DB" w:rsidRPr="00BE32AE">
        <w:rPr>
          <w:rFonts w:ascii="Garamond" w:hAnsi="Garamond"/>
          <w:sz w:val="24"/>
          <w:szCs w:val="24"/>
        </w:rPr>
        <w:t>mineras</w:t>
      </w:r>
      <w:r w:rsidRPr="00BE32AE">
        <w:rPr>
          <w:rFonts w:ascii="Garamond" w:hAnsi="Garamond"/>
          <w:sz w:val="24"/>
          <w:szCs w:val="24"/>
        </w:rPr>
        <w:t xml:space="preserve">, </w:t>
      </w:r>
      <w:r w:rsidR="00CC46DB" w:rsidRPr="00BE32AE">
        <w:rPr>
          <w:rFonts w:ascii="Garamond" w:hAnsi="Garamond"/>
          <w:sz w:val="24"/>
          <w:szCs w:val="24"/>
        </w:rPr>
        <w:t>(se consideran con más de un 30% de participación del sector</w:t>
      </w:r>
      <w:r w:rsidR="00F91A4A" w:rsidRPr="00BE32AE">
        <w:rPr>
          <w:rFonts w:ascii="Garamond" w:hAnsi="Garamond"/>
          <w:sz w:val="24"/>
          <w:szCs w:val="24"/>
        </w:rPr>
        <w:t xml:space="preserve"> en el PIB</w:t>
      </w:r>
      <w:r w:rsidR="00D25E7F" w:rsidRPr="00BE32AE">
        <w:rPr>
          <w:rFonts w:ascii="Garamond" w:hAnsi="Garamond"/>
          <w:sz w:val="24"/>
          <w:szCs w:val="24"/>
        </w:rPr>
        <w:t xml:space="preserve">), </w:t>
      </w:r>
      <w:r w:rsidRPr="00BE32AE">
        <w:rPr>
          <w:rFonts w:ascii="Garamond" w:hAnsi="Garamond"/>
          <w:sz w:val="24"/>
          <w:szCs w:val="24"/>
        </w:rPr>
        <w:t>Atacama</w:t>
      </w:r>
      <w:r w:rsidR="00D25E7F" w:rsidRPr="00BE32AE">
        <w:rPr>
          <w:rFonts w:ascii="Garamond" w:hAnsi="Garamond"/>
          <w:sz w:val="24"/>
          <w:szCs w:val="24"/>
        </w:rPr>
        <w:t xml:space="preserve"> y Coquimbo crecen por sobre el país, y </w:t>
      </w:r>
      <w:r w:rsidR="00CC46DB" w:rsidRPr="00BE32AE">
        <w:rPr>
          <w:rFonts w:ascii="Garamond" w:hAnsi="Garamond"/>
          <w:sz w:val="24"/>
          <w:szCs w:val="24"/>
        </w:rPr>
        <w:t xml:space="preserve">Antofagasta </w:t>
      </w:r>
      <w:r w:rsidR="00D25E7F" w:rsidRPr="00BE32AE">
        <w:rPr>
          <w:rFonts w:ascii="Garamond" w:hAnsi="Garamond"/>
          <w:sz w:val="24"/>
          <w:szCs w:val="24"/>
        </w:rPr>
        <w:t xml:space="preserve">y </w:t>
      </w:r>
      <w:r w:rsidR="00CC46DB" w:rsidRPr="00BE32AE">
        <w:rPr>
          <w:rFonts w:ascii="Garamond" w:hAnsi="Garamond"/>
          <w:sz w:val="24"/>
          <w:szCs w:val="24"/>
        </w:rPr>
        <w:t>Tarapacá</w:t>
      </w:r>
      <w:r w:rsidR="00D25E7F" w:rsidRPr="00BE32AE">
        <w:rPr>
          <w:rFonts w:ascii="Garamond" w:hAnsi="Garamond"/>
          <w:sz w:val="24"/>
          <w:szCs w:val="24"/>
        </w:rPr>
        <w:t>, por debajo de éste, con una mediana 147,5</w:t>
      </w:r>
      <w:r w:rsidR="00CC46DB" w:rsidRPr="00BE32AE">
        <w:rPr>
          <w:rFonts w:ascii="Garamond" w:hAnsi="Garamond"/>
          <w:sz w:val="24"/>
          <w:szCs w:val="24"/>
        </w:rPr>
        <w:t>%</w:t>
      </w:r>
      <w:r w:rsidR="00D25E7F" w:rsidRPr="00BE32AE">
        <w:rPr>
          <w:rFonts w:ascii="Garamond" w:hAnsi="Garamond"/>
          <w:sz w:val="24"/>
          <w:szCs w:val="24"/>
        </w:rPr>
        <w:t xml:space="preserve">. </w:t>
      </w:r>
      <w:r w:rsidR="00BE2DFA" w:rsidRPr="00BE32AE">
        <w:rPr>
          <w:rFonts w:ascii="Garamond" w:hAnsi="Garamond"/>
          <w:sz w:val="24"/>
          <w:szCs w:val="24"/>
        </w:rPr>
        <w:t xml:space="preserve">  </w:t>
      </w:r>
    </w:p>
    <w:p w:rsidR="00251C74" w:rsidRDefault="00251C74" w:rsidP="0044087F">
      <w:pPr>
        <w:tabs>
          <w:tab w:val="left" w:pos="180"/>
        </w:tabs>
        <w:spacing w:after="240" w:line="288" w:lineRule="auto"/>
        <w:ind w:left="426"/>
        <w:jc w:val="both"/>
        <w:rPr>
          <w:rFonts w:ascii="Garamond" w:hAnsi="Garamond"/>
          <w:sz w:val="24"/>
          <w:szCs w:val="24"/>
        </w:rPr>
      </w:pPr>
      <w:r>
        <w:rPr>
          <w:noProof/>
          <w:lang w:eastAsia="es-CL"/>
        </w:rPr>
        <w:drawing>
          <wp:inline distT="0" distB="0" distL="0" distR="0" wp14:anchorId="1136C9B9" wp14:editId="38702E71">
            <wp:extent cx="4882551" cy="2510287"/>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6DF0" w:rsidRDefault="00FF64C1"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Estas variaciones con un amplio espectro de fluctuación muestra un resultado que corrientemente se ha visualizado con la existencia de “regiones ganadoras y regiones perdedoras”.  Como señala Marshall, esos efectos  “…en todos los casos de éxito hay ciertos activos que atraen nuevas inversiones, que inicialmente pueden responder a la disponibilidad de recursos naturales, pero que con el avance del desarrollo son aportados por activos intangibles que se logran con la colaboración</w:t>
      </w:r>
      <w:r w:rsidR="000B5EF0" w:rsidRPr="00BE32AE">
        <w:rPr>
          <w:rFonts w:ascii="Garamond" w:hAnsi="Garamond" w:cs="Arial"/>
        </w:rPr>
        <w:t>”</w:t>
      </w:r>
      <w:r w:rsidRPr="00BE32AE">
        <w:rPr>
          <w:rFonts w:ascii="Garamond" w:hAnsi="Garamond" w:cs="Arial"/>
        </w:rPr>
        <w:t xml:space="preserve">. </w:t>
      </w:r>
      <w:r w:rsidR="00F16DF0" w:rsidRPr="00BE32AE">
        <w:rPr>
          <w:rFonts w:ascii="Garamond" w:hAnsi="Garamond" w:cs="Arial"/>
        </w:rPr>
        <w:t xml:space="preserve">Esos </w:t>
      </w:r>
      <w:r w:rsidR="00737775" w:rsidRPr="00BE32AE">
        <w:rPr>
          <w:rFonts w:ascii="Garamond" w:hAnsi="Garamond" w:cs="Arial"/>
        </w:rPr>
        <w:t xml:space="preserve">resultados </w:t>
      </w:r>
      <w:r w:rsidR="00F16DF0" w:rsidRPr="00BE32AE">
        <w:rPr>
          <w:rFonts w:ascii="Garamond" w:hAnsi="Garamond" w:cs="Arial"/>
        </w:rPr>
        <w:t xml:space="preserve">que favorecen el crecimiento </w:t>
      </w:r>
      <w:r w:rsidR="00737775" w:rsidRPr="00BE32AE">
        <w:rPr>
          <w:rFonts w:ascii="Garamond" w:hAnsi="Garamond" w:cs="Arial"/>
        </w:rPr>
        <w:t>son “… muchas acciones descentralizadas que generan un ambiente de alta interacción y conectividad que hace una diferencia en la competitividad de las empresas.”</w:t>
      </w:r>
      <w:r w:rsidR="00737775" w:rsidRPr="00BE32AE">
        <w:rPr>
          <w:rStyle w:val="Refdenotaalpie"/>
          <w:rFonts w:ascii="Garamond" w:hAnsi="Garamond" w:cs="Arial"/>
        </w:rPr>
        <w:footnoteReference w:id="1"/>
      </w:r>
      <w:r w:rsidR="00F16DF0" w:rsidRPr="00BE32AE">
        <w:rPr>
          <w:rFonts w:ascii="Garamond" w:hAnsi="Garamond" w:cs="Arial"/>
        </w:rPr>
        <w:t xml:space="preserve">Esto </w:t>
      </w:r>
      <w:r w:rsidR="00714A74">
        <w:rPr>
          <w:rFonts w:ascii="Garamond" w:hAnsi="Garamond" w:cs="Arial"/>
        </w:rPr>
        <w:t>se relaciona</w:t>
      </w:r>
      <w:r w:rsidR="00737775" w:rsidRPr="00BE32AE">
        <w:rPr>
          <w:rFonts w:ascii="Garamond" w:hAnsi="Garamond" w:cs="Arial"/>
        </w:rPr>
        <w:t xml:space="preserve"> con </w:t>
      </w:r>
      <w:r w:rsidR="00F16DF0" w:rsidRPr="00BE32AE">
        <w:rPr>
          <w:rFonts w:ascii="Garamond" w:hAnsi="Garamond" w:cs="Arial"/>
        </w:rPr>
        <w:t>lo indica</w:t>
      </w:r>
      <w:r w:rsidR="00714A74">
        <w:rPr>
          <w:rFonts w:ascii="Garamond" w:hAnsi="Garamond" w:cs="Arial"/>
        </w:rPr>
        <w:t>do por</w:t>
      </w:r>
      <w:r w:rsidR="00F16DF0" w:rsidRPr="00BE32AE">
        <w:rPr>
          <w:rFonts w:ascii="Garamond" w:hAnsi="Garamond" w:cs="Arial"/>
        </w:rPr>
        <w:t xml:space="preserve">Acemoglu y Robinson, sobre </w:t>
      </w:r>
      <w:r w:rsidR="00737775" w:rsidRPr="00BE32AE">
        <w:rPr>
          <w:rFonts w:ascii="Garamond" w:hAnsi="Garamond" w:cs="Arial"/>
        </w:rPr>
        <w:t xml:space="preserve">el desarrollo de “… instituciones que influyen </w:t>
      </w:r>
      <w:r w:rsidR="00737775" w:rsidRPr="00BE32AE">
        <w:rPr>
          <w:rFonts w:ascii="Garamond" w:hAnsi="Garamond" w:cs="Arial"/>
        </w:rPr>
        <w:lastRenderedPageBreak/>
        <w:t>en el comportamiento y los incentivos en la vida real, (que) forjan el éxito o el fracaso de los países”</w:t>
      </w:r>
      <w:r w:rsidR="00737775" w:rsidRPr="00BE32AE">
        <w:rPr>
          <w:rStyle w:val="Refdenotaalpie"/>
          <w:rFonts w:ascii="Garamond" w:hAnsi="Garamond" w:cs="Arial"/>
        </w:rPr>
        <w:footnoteReference w:id="2"/>
      </w:r>
      <w:r w:rsidR="00737775" w:rsidRPr="00BE32AE">
        <w:rPr>
          <w:rFonts w:ascii="Garamond" w:hAnsi="Garamond" w:cs="Arial"/>
        </w:rPr>
        <w:t xml:space="preserve">, y por cierto de las regiones. </w:t>
      </w:r>
    </w:p>
    <w:p w:rsidR="00454BF5" w:rsidRPr="00BE32AE" w:rsidRDefault="009B2E29" w:rsidP="000C1827">
      <w:pPr>
        <w:tabs>
          <w:tab w:val="left" w:pos="180"/>
        </w:tabs>
        <w:spacing w:after="240" w:line="288" w:lineRule="auto"/>
        <w:jc w:val="both"/>
        <w:rPr>
          <w:rFonts w:ascii="Garamond" w:hAnsi="Garamond"/>
          <w:sz w:val="24"/>
          <w:szCs w:val="24"/>
        </w:rPr>
      </w:pPr>
      <w:r w:rsidRPr="002510C4">
        <w:rPr>
          <w:rFonts w:ascii="Garamond" w:hAnsi="Garamond"/>
          <w:sz w:val="24"/>
          <w:szCs w:val="24"/>
        </w:rPr>
        <w:t xml:space="preserve">En este avance global </w:t>
      </w:r>
      <w:r w:rsidR="006E06B7" w:rsidRPr="002510C4">
        <w:rPr>
          <w:rFonts w:ascii="Garamond" w:hAnsi="Garamond"/>
          <w:sz w:val="24"/>
          <w:szCs w:val="24"/>
        </w:rPr>
        <w:t>de la riqueza del país</w:t>
      </w:r>
      <w:r w:rsidRPr="002510C4">
        <w:rPr>
          <w:rFonts w:ascii="Garamond" w:hAnsi="Garamond"/>
          <w:sz w:val="24"/>
          <w:szCs w:val="24"/>
        </w:rPr>
        <w:t xml:space="preserve">, la minería </w:t>
      </w:r>
      <w:r w:rsidR="006E06B7" w:rsidRPr="002510C4">
        <w:rPr>
          <w:rFonts w:ascii="Garamond" w:hAnsi="Garamond"/>
          <w:sz w:val="24"/>
          <w:szCs w:val="24"/>
        </w:rPr>
        <w:t xml:space="preserve">tiene un reconocido rol de gran </w:t>
      </w:r>
      <w:r w:rsidRPr="002510C4">
        <w:rPr>
          <w:rFonts w:ascii="Garamond" w:hAnsi="Garamond"/>
          <w:sz w:val="24"/>
          <w:szCs w:val="24"/>
        </w:rPr>
        <w:t>relevan</w:t>
      </w:r>
      <w:r w:rsidR="006E06B7" w:rsidRPr="002510C4">
        <w:rPr>
          <w:rFonts w:ascii="Garamond" w:hAnsi="Garamond"/>
          <w:sz w:val="24"/>
          <w:szCs w:val="24"/>
        </w:rPr>
        <w:t xml:space="preserve">cia, pero no existe </w:t>
      </w:r>
      <w:r w:rsidR="00BF6F8A" w:rsidRPr="002510C4">
        <w:rPr>
          <w:rFonts w:ascii="Garamond" w:hAnsi="Garamond"/>
          <w:sz w:val="24"/>
          <w:szCs w:val="24"/>
        </w:rPr>
        <w:t>la misma</w:t>
      </w:r>
      <w:r w:rsidR="006E06B7" w:rsidRPr="002510C4">
        <w:rPr>
          <w:rFonts w:ascii="Garamond" w:hAnsi="Garamond"/>
          <w:sz w:val="24"/>
          <w:szCs w:val="24"/>
        </w:rPr>
        <w:t xml:space="preserve"> co</w:t>
      </w:r>
      <w:r w:rsidR="00BF6F8A" w:rsidRPr="002510C4">
        <w:rPr>
          <w:rFonts w:ascii="Garamond" w:hAnsi="Garamond"/>
          <w:sz w:val="24"/>
          <w:szCs w:val="24"/>
        </w:rPr>
        <w:t xml:space="preserve">mprensión </w:t>
      </w:r>
      <w:r w:rsidR="006E06B7" w:rsidRPr="002510C4">
        <w:rPr>
          <w:rFonts w:ascii="Garamond" w:hAnsi="Garamond"/>
          <w:sz w:val="24"/>
          <w:szCs w:val="24"/>
        </w:rPr>
        <w:t xml:space="preserve">de la verdadera magnitud de este incremento </w:t>
      </w:r>
      <w:r w:rsidR="007A1E58" w:rsidRPr="002510C4">
        <w:rPr>
          <w:rFonts w:ascii="Garamond" w:hAnsi="Garamond"/>
          <w:sz w:val="24"/>
          <w:szCs w:val="24"/>
        </w:rPr>
        <w:t xml:space="preserve">a nivel </w:t>
      </w:r>
      <w:r w:rsidR="006833D4" w:rsidRPr="002510C4">
        <w:rPr>
          <w:rFonts w:ascii="Garamond" w:hAnsi="Garamond"/>
          <w:sz w:val="24"/>
          <w:szCs w:val="24"/>
        </w:rPr>
        <w:t>individual de cada región</w:t>
      </w:r>
      <w:r w:rsidR="0096431E" w:rsidRPr="002510C4">
        <w:rPr>
          <w:rFonts w:ascii="Garamond" w:hAnsi="Garamond"/>
          <w:sz w:val="24"/>
          <w:szCs w:val="24"/>
        </w:rPr>
        <w:t xml:space="preserve">, y en particular de las </w:t>
      </w:r>
      <w:r w:rsidR="002510C4">
        <w:rPr>
          <w:rFonts w:ascii="Garamond" w:hAnsi="Garamond"/>
          <w:sz w:val="24"/>
          <w:szCs w:val="24"/>
        </w:rPr>
        <w:t>r</w:t>
      </w:r>
      <w:r w:rsidR="0096431E" w:rsidRPr="002510C4">
        <w:rPr>
          <w:rFonts w:ascii="Garamond" w:hAnsi="Garamond"/>
          <w:sz w:val="24"/>
          <w:szCs w:val="24"/>
        </w:rPr>
        <w:t>egiones mineras</w:t>
      </w:r>
      <w:r w:rsidR="006E06B7" w:rsidRPr="002510C4">
        <w:rPr>
          <w:rFonts w:ascii="Garamond" w:hAnsi="Garamond"/>
          <w:sz w:val="24"/>
          <w:szCs w:val="24"/>
        </w:rPr>
        <w:t xml:space="preserve">. </w:t>
      </w:r>
      <w:r w:rsidR="0096431E" w:rsidRPr="002510C4">
        <w:rPr>
          <w:rFonts w:ascii="Garamond" w:hAnsi="Garamond"/>
          <w:sz w:val="24"/>
          <w:szCs w:val="24"/>
        </w:rPr>
        <w:t xml:space="preserve">Porque </w:t>
      </w:r>
      <w:r w:rsidR="00D47907">
        <w:rPr>
          <w:rFonts w:ascii="Garamond" w:hAnsi="Garamond"/>
          <w:sz w:val="24"/>
          <w:szCs w:val="24"/>
        </w:rPr>
        <w:t xml:space="preserve">determinar </w:t>
      </w:r>
      <w:r w:rsidR="0096431E" w:rsidRPr="002510C4">
        <w:rPr>
          <w:rFonts w:ascii="Garamond" w:hAnsi="Garamond"/>
          <w:sz w:val="24"/>
          <w:szCs w:val="24"/>
        </w:rPr>
        <w:t>q</w:t>
      </w:r>
      <w:r w:rsidR="000F264E" w:rsidRPr="002510C4">
        <w:rPr>
          <w:rFonts w:ascii="Garamond" w:hAnsi="Garamond"/>
          <w:sz w:val="24"/>
          <w:szCs w:val="24"/>
        </w:rPr>
        <w:t xml:space="preserve">ué ocurre con la competitividad, y con la capacidad de los territorios para crear condiciones de largo plazo </w:t>
      </w:r>
      <w:r w:rsidR="00AA1AAE" w:rsidRPr="002510C4">
        <w:rPr>
          <w:rFonts w:ascii="Garamond" w:hAnsi="Garamond"/>
          <w:sz w:val="24"/>
          <w:szCs w:val="24"/>
        </w:rPr>
        <w:t>en el sistema económico que le permitan generar condiciones crecientes de bienestar en su población</w:t>
      </w:r>
      <w:r w:rsidR="00D47907">
        <w:rPr>
          <w:rFonts w:ascii="Garamond" w:hAnsi="Garamond"/>
          <w:sz w:val="24"/>
          <w:szCs w:val="24"/>
        </w:rPr>
        <w:t xml:space="preserve"> son temas relevantes</w:t>
      </w:r>
      <w:r w:rsidR="00AA1AAE" w:rsidRPr="002510C4">
        <w:rPr>
          <w:rFonts w:ascii="Garamond" w:hAnsi="Garamond"/>
          <w:sz w:val="24"/>
          <w:szCs w:val="24"/>
        </w:rPr>
        <w:t xml:space="preserve">. </w:t>
      </w:r>
      <w:r w:rsidR="007A1E58" w:rsidRPr="002510C4">
        <w:rPr>
          <w:rFonts w:ascii="Garamond" w:hAnsi="Garamond"/>
          <w:sz w:val="24"/>
          <w:szCs w:val="24"/>
        </w:rPr>
        <w:t xml:space="preserve">En esa perspectiva, </w:t>
      </w:r>
      <w:r w:rsidR="00BF6F8A" w:rsidRPr="002510C4">
        <w:rPr>
          <w:rFonts w:ascii="Garamond" w:hAnsi="Garamond"/>
          <w:sz w:val="24"/>
          <w:szCs w:val="24"/>
        </w:rPr>
        <w:t xml:space="preserve">este artículo </w:t>
      </w:r>
      <w:r w:rsidR="007A1E58" w:rsidRPr="002510C4">
        <w:rPr>
          <w:rFonts w:ascii="Garamond" w:hAnsi="Garamond"/>
          <w:sz w:val="24"/>
          <w:szCs w:val="24"/>
        </w:rPr>
        <w:t xml:space="preserve">tiene como objetivo ilustrar los cambios que ha experimentado </w:t>
      </w:r>
      <w:r w:rsidR="00D47907">
        <w:rPr>
          <w:rFonts w:ascii="Garamond" w:hAnsi="Garamond"/>
          <w:sz w:val="24"/>
          <w:szCs w:val="24"/>
        </w:rPr>
        <w:t xml:space="preserve">el país y </w:t>
      </w:r>
      <w:r w:rsidR="007A1E58" w:rsidRPr="002510C4">
        <w:rPr>
          <w:rFonts w:ascii="Garamond" w:hAnsi="Garamond"/>
          <w:sz w:val="24"/>
          <w:szCs w:val="24"/>
        </w:rPr>
        <w:t>estas regiones, en términos de sus efectos y consecuencias</w:t>
      </w:r>
      <w:r w:rsidR="00454BF5" w:rsidRPr="002510C4">
        <w:rPr>
          <w:rFonts w:ascii="Garamond" w:hAnsi="Garamond"/>
          <w:sz w:val="24"/>
          <w:szCs w:val="24"/>
        </w:rPr>
        <w:t>;</w:t>
      </w:r>
      <w:r w:rsidR="00A83B89">
        <w:rPr>
          <w:rFonts w:ascii="Garamond" w:hAnsi="Garamond"/>
          <w:sz w:val="24"/>
          <w:szCs w:val="24"/>
        </w:rPr>
        <w:t xml:space="preserve"> </w:t>
      </w:r>
      <w:r w:rsidR="00454BF5" w:rsidRPr="002510C4">
        <w:rPr>
          <w:rFonts w:ascii="Garamond" w:hAnsi="Garamond"/>
          <w:sz w:val="24"/>
          <w:szCs w:val="24"/>
        </w:rPr>
        <w:t xml:space="preserve">lo </w:t>
      </w:r>
      <w:r w:rsidR="007A1E58" w:rsidRPr="002510C4">
        <w:rPr>
          <w:rFonts w:ascii="Garamond" w:hAnsi="Garamond"/>
          <w:sz w:val="24"/>
          <w:szCs w:val="24"/>
        </w:rPr>
        <w:t xml:space="preserve">que </w:t>
      </w:r>
      <w:r w:rsidR="00454BF5" w:rsidRPr="002510C4">
        <w:rPr>
          <w:rFonts w:ascii="Garamond" w:hAnsi="Garamond"/>
          <w:sz w:val="24"/>
          <w:szCs w:val="24"/>
        </w:rPr>
        <w:t xml:space="preserve">pretende contribuir con </w:t>
      </w:r>
      <w:r w:rsidR="007A1E58" w:rsidRPr="002510C4">
        <w:rPr>
          <w:rFonts w:ascii="Garamond" w:hAnsi="Garamond"/>
          <w:sz w:val="24"/>
          <w:szCs w:val="24"/>
        </w:rPr>
        <w:t xml:space="preserve">antecedentes </w:t>
      </w:r>
      <w:r w:rsidR="00454BF5" w:rsidRPr="002510C4">
        <w:rPr>
          <w:rFonts w:ascii="Garamond" w:hAnsi="Garamond"/>
          <w:sz w:val="24"/>
          <w:szCs w:val="24"/>
        </w:rPr>
        <w:t xml:space="preserve">para la elaboración de políticas públicas, </w:t>
      </w:r>
      <w:r w:rsidR="00D47907">
        <w:rPr>
          <w:rFonts w:ascii="Garamond" w:hAnsi="Garamond"/>
          <w:sz w:val="24"/>
          <w:szCs w:val="24"/>
        </w:rPr>
        <w:t>que</w:t>
      </w:r>
      <w:r w:rsidR="00454BF5" w:rsidRPr="002510C4">
        <w:rPr>
          <w:rFonts w:ascii="Garamond" w:hAnsi="Garamond"/>
          <w:sz w:val="24"/>
          <w:szCs w:val="24"/>
        </w:rPr>
        <w:t xml:space="preserve"> también son necesarios para impulsar en forma eficaz la descentralización. </w:t>
      </w:r>
      <w:r w:rsidR="00F16DF0" w:rsidRPr="002510C4">
        <w:rPr>
          <w:rFonts w:ascii="Garamond" w:hAnsi="Garamond"/>
          <w:sz w:val="24"/>
          <w:szCs w:val="24"/>
        </w:rPr>
        <w:t xml:space="preserve">En las páginas siguientes </w:t>
      </w:r>
      <w:r w:rsidR="00D47907">
        <w:rPr>
          <w:rFonts w:ascii="Garamond" w:hAnsi="Garamond"/>
          <w:sz w:val="24"/>
          <w:szCs w:val="24"/>
        </w:rPr>
        <w:t>se revisan las variables económicas y sociales, y a continuación las visiones y perspectivas para las regiones mineras.</w:t>
      </w:r>
    </w:p>
    <w:p w:rsidR="0044087F" w:rsidRDefault="0044087F">
      <w:pPr>
        <w:rPr>
          <w:rFonts w:ascii="Garamond" w:hAnsi="Garamond"/>
          <w:b/>
          <w:sz w:val="24"/>
          <w:szCs w:val="24"/>
        </w:rPr>
      </w:pPr>
      <w:r>
        <w:rPr>
          <w:rFonts w:ascii="Garamond" w:hAnsi="Garamond"/>
          <w:b/>
          <w:sz w:val="24"/>
          <w:szCs w:val="24"/>
        </w:rPr>
        <w:br w:type="page"/>
      </w:r>
    </w:p>
    <w:p w:rsidR="00FF64C1" w:rsidRPr="00BE32AE" w:rsidRDefault="00AA159E" w:rsidP="000C1827">
      <w:pPr>
        <w:pStyle w:val="Prrafodelista"/>
        <w:numPr>
          <w:ilvl w:val="0"/>
          <w:numId w:val="6"/>
        </w:numPr>
        <w:tabs>
          <w:tab w:val="left" w:pos="426"/>
        </w:tabs>
        <w:spacing w:after="240" w:line="288" w:lineRule="auto"/>
        <w:ind w:left="0" w:firstLine="0"/>
        <w:contextualSpacing w:val="0"/>
        <w:rPr>
          <w:rFonts w:ascii="Garamond" w:hAnsi="Garamond"/>
          <w:b/>
          <w:sz w:val="24"/>
          <w:szCs w:val="24"/>
        </w:rPr>
      </w:pPr>
      <w:r>
        <w:rPr>
          <w:rFonts w:ascii="Garamond" w:hAnsi="Garamond"/>
          <w:b/>
          <w:sz w:val="24"/>
          <w:szCs w:val="24"/>
        </w:rPr>
        <w:t>Resultados Económicos y Sociales en el País y las Regiones</w:t>
      </w:r>
    </w:p>
    <w:p w:rsidR="00F67147" w:rsidRPr="00BE32AE" w:rsidRDefault="00F67147" w:rsidP="000C1827">
      <w:pPr>
        <w:pStyle w:val="Prrafodelista"/>
        <w:numPr>
          <w:ilvl w:val="0"/>
          <w:numId w:val="7"/>
        </w:numPr>
        <w:tabs>
          <w:tab w:val="left" w:pos="567"/>
        </w:tabs>
        <w:spacing w:after="240" w:line="288" w:lineRule="auto"/>
        <w:ind w:left="-142" w:firstLine="142"/>
        <w:contextualSpacing w:val="0"/>
        <w:rPr>
          <w:rFonts w:ascii="Garamond" w:hAnsi="Garamond"/>
          <w:b/>
          <w:sz w:val="24"/>
          <w:szCs w:val="24"/>
        </w:rPr>
      </w:pPr>
      <w:r w:rsidRPr="00BE32AE">
        <w:rPr>
          <w:rFonts w:ascii="Garamond" w:hAnsi="Garamond"/>
          <w:b/>
          <w:sz w:val="24"/>
          <w:szCs w:val="24"/>
        </w:rPr>
        <w:t>Variables Económicas</w:t>
      </w:r>
    </w:p>
    <w:p w:rsidR="00F67147" w:rsidRPr="00BE32AE" w:rsidRDefault="00F67147" w:rsidP="000C1827">
      <w:pPr>
        <w:pStyle w:val="Prrafodelista"/>
        <w:numPr>
          <w:ilvl w:val="0"/>
          <w:numId w:val="8"/>
        </w:numPr>
        <w:tabs>
          <w:tab w:val="left" w:pos="567"/>
        </w:tabs>
        <w:spacing w:after="240" w:line="288" w:lineRule="auto"/>
        <w:ind w:left="0" w:firstLine="0"/>
        <w:contextualSpacing w:val="0"/>
        <w:rPr>
          <w:rFonts w:ascii="Garamond" w:hAnsi="Garamond"/>
          <w:b/>
          <w:sz w:val="24"/>
          <w:szCs w:val="24"/>
        </w:rPr>
      </w:pPr>
      <w:r w:rsidRPr="00BE32AE">
        <w:rPr>
          <w:rFonts w:ascii="Garamond" w:hAnsi="Garamond"/>
          <w:b/>
          <w:sz w:val="24"/>
          <w:szCs w:val="24"/>
        </w:rPr>
        <w:t>Actividad</w:t>
      </w:r>
    </w:p>
    <w:p w:rsidR="00740F4C" w:rsidRDefault="00740F4C" w:rsidP="000C1827">
      <w:pPr>
        <w:spacing w:after="240" w:line="288" w:lineRule="auto"/>
        <w:jc w:val="both"/>
        <w:rPr>
          <w:rFonts w:ascii="Garamond" w:hAnsi="Garamond"/>
          <w:sz w:val="24"/>
          <w:szCs w:val="24"/>
        </w:rPr>
      </w:pPr>
      <w:r w:rsidRPr="00BE32AE">
        <w:rPr>
          <w:rFonts w:ascii="Garamond" w:hAnsi="Garamond"/>
          <w:sz w:val="24"/>
          <w:szCs w:val="24"/>
        </w:rPr>
        <w:t>Chile tiene grandes disparidades económicas</w:t>
      </w:r>
      <w:r w:rsidR="00142A59" w:rsidRPr="00BE32AE">
        <w:rPr>
          <w:rFonts w:ascii="Garamond" w:hAnsi="Garamond"/>
          <w:sz w:val="24"/>
          <w:szCs w:val="24"/>
        </w:rPr>
        <w:t>,</w:t>
      </w:r>
      <w:r w:rsidR="006C4B1E" w:rsidRPr="00BE32AE">
        <w:rPr>
          <w:rFonts w:ascii="Garamond" w:hAnsi="Garamond"/>
          <w:sz w:val="24"/>
          <w:szCs w:val="24"/>
        </w:rPr>
        <w:t xml:space="preserve">y por ese motivo el crecimiento </w:t>
      </w:r>
      <w:r w:rsidR="00142A59" w:rsidRPr="00BE32AE">
        <w:rPr>
          <w:rFonts w:ascii="Garamond" w:hAnsi="Garamond"/>
          <w:sz w:val="24"/>
          <w:szCs w:val="24"/>
        </w:rPr>
        <w:t xml:space="preserve">que cuadruplica </w:t>
      </w:r>
      <w:r w:rsidR="005F5A8A" w:rsidRPr="00BE32AE">
        <w:rPr>
          <w:rFonts w:ascii="Garamond" w:hAnsi="Garamond"/>
          <w:sz w:val="24"/>
          <w:szCs w:val="24"/>
        </w:rPr>
        <w:t>el PIB entre 1985 y 2011</w:t>
      </w:r>
      <w:r w:rsidR="00142A59" w:rsidRPr="00BE32AE">
        <w:rPr>
          <w:rFonts w:ascii="Garamond" w:hAnsi="Garamond"/>
          <w:sz w:val="24"/>
          <w:szCs w:val="24"/>
        </w:rPr>
        <w:t xml:space="preserve"> (299</w:t>
      </w:r>
      <w:r w:rsidR="009E1D6E" w:rsidRPr="00BE32AE">
        <w:rPr>
          <w:rFonts w:ascii="Garamond" w:hAnsi="Garamond"/>
          <w:sz w:val="24"/>
          <w:szCs w:val="24"/>
        </w:rPr>
        <w:t>,2</w:t>
      </w:r>
      <w:r w:rsidR="00142A59" w:rsidRPr="00BE32AE">
        <w:rPr>
          <w:rFonts w:ascii="Garamond" w:hAnsi="Garamond"/>
          <w:sz w:val="24"/>
          <w:szCs w:val="24"/>
        </w:rPr>
        <w:t>%)</w:t>
      </w:r>
      <w:r w:rsidR="005F5A8A" w:rsidRPr="00BE32AE">
        <w:rPr>
          <w:rFonts w:ascii="Garamond" w:hAnsi="Garamond"/>
          <w:sz w:val="24"/>
          <w:szCs w:val="24"/>
        </w:rPr>
        <w:t xml:space="preserve">; al igual que </w:t>
      </w:r>
      <w:r w:rsidR="00142A59" w:rsidRPr="00BE32AE">
        <w:rPr>
          <w:rFonts w:ascii="Garamond" w:hAnsi="Garamond"/>
          <w:sz w:val="24"/>
          <w:szCs w:val="24"/>
        </w:rPr>
        <w:t>casi triplica el</w:t>
      </w:r>
      <w:r w:rsidR="005F5A8A" w:rsidRPr="00BE32AE">
        <w:rPr>
          <w:rFonts w:ascii="Garamond" w:hAnsi="Garamond"/>
          <w:sz w:val="24"/>
          <w:szCs w:val="24"/>
        </w:rPr>
        <w:t xml:space="preserve"> PIB per cápita </w:t>
      </w:r>
      <w:r w:rsidR="00142A59" w:rsidRPr="00BE32AE">
        <w:rPr>
          <w:rFonts w:ascii="Garamond" w:hAnsi="Garamond"/>
          <w:sz w:val="24"/>
          <w:szCs w:val="24"/>
        </w:rPr>
        <w:t>(180</w:t>
      </w:r>
      <w:r w:rsidR="009E1D6E" w:rsidRPr="00BE32AE">
        <w:rPr>
          <w:rFonts w:ascii="Garamond" w:hAnsi="Garamond"/>
          <w:sz w:val="24"/>
          <w:szCs w:val="24"/>
        </w:rPr>
        <w:t>,1</w:t>
      </w:r>
      <w:r w:rsidR="00142A59" w:rsidRPr="00BE32AE">
        <w:rPr>
          <w:rFonts w:ascii="Garamond" w:hAnsi="Garamond"/>
          <w:sz w:val="24"/>
          <w:szCs w:val="24"/>
        </w:rPr>
        <w:t xml:space="preserve">%) </w:t>
      </w:r>
      <w:r w:rsidRPr="00BE32AE">
        <w:rPr>
          <w:rFonts w:ascii="Garamond" w:hAnsi="Garamond"/>
          <w:sz w:val="24"/>
          <w:szCs w:val="24"/>
        </w:rPr>
        <w:t>debe</w:t>
      </w:r>
      <w:r w:rsidR="005F5A8A" w:rsidRPr="00BE32AE">
        <w:rPr>
          <w:rFonts w:ascii="Garamond" w:hAnsi="Garamond"/>
          <w:sz w:val="24"/>
          <w:szCs w:val="24"/>
        </w:rPr>
        <w:t>n</w:t>
      </w:r>
      <w:r w:rsidRPr="00BE32AE">
        <w:rPr>
          <w:rFonts w:ascii="Garamond" w:hAnsi="Garamond"/>
          <w:sz w:val="24"/>
          <w:szCs w:val="24"/>
        </w:rPr>
        <w:t xml:space="preserve"> mirarse con más detención y detalle que el de un comportamiento promedio, para entender </w:t>
      </w:r>
      <w:r w:rsidR="005F5A8A" w:rsidRPr="00BE32AE">
        <w:rPr>
          <w:rFonts w:ascii="Garamond" w:hAnsi="Garamond"/>
          <w:sz w:val="24"/>
          <w:szCs w:val="24"/>
        </w:rPr>
        <w:t>cómo</w:t>
      </w:r>
      <w:r w:rsidRPr="00BE32AE">
        <w:rPr>
          <w:rFonts w:ascii="Garamond" w:hAnsi="Garamond"/>
          <w:sz w:val="24"/>
          <w:szCs w:val="24"/>
        </w:rPr>
        <w:t xml:space="preserve"> se mueven las variables relevantes a lo largo y ancho del territorio nacional</w:t>
      </w:r>
      <w:r w:rsidR="009C21F7" w:rsidRPr="00BE32AE">
        <w:rPr>
          <w:rFonts w:ascii="Garamond" w:hAnsi="Garamond"/>
          <w:sz w:val="24"/>
          <w:szCs w:val="24"/>
        </w:rPr>
        <w:t>; y como se ven efectivamente beneficiados sus habitantes</w:t>
      </w:r>
      <w:r w:rsidRPr="00BE32AE">
        <w:rPr>
          <w:rFonts w:ascii="Garamond" w:hAnsi="Garamond"/>
          <w:sz w:val="24"/>
          <w:szCs w:val="24"/>
        </w:rPr>
        <w:t>.</w:t>
      </w:r>
    </w:p>
    <w:p w:rsidR="0044087F" w:rsidRDefault="0044087F" w:rsidP="000C1827">
      <w:pPr>
        <w:spacing w:after="240" w:line="288" w:lineRule="auto"/>
        <w:jc w:val="both"/>
        <w:rPr>
          <w:rFonts w:ascii="Garamond" w:hAnsi="Garamond"/>
          <w:sz w:val="24"/>
          <w:szCs w:val="24"/>
        </w:rPr>
      </w:pPr>
    </w:p>
    <w:p w:rsidR="0044087F" w:rsidRDefault="0044087F" w:rsidP="00425DA4">
      <w:pPr>
        <w:spacing w:after="240" w:line="288" w:lineRule="auto"/>
        <w:ind w:left="426"/>
        <w:jc w:val="both"/>
        <w:rPr>
          <w:rFonts w:ascii="Garamond" w:hAnsi="Garamond"/>
          <w:sz w:val="24"/>
          <w:szCs w:val="24"/>
        </w:rPr>
      </w:pPr>
      <w:r w:rsidRPr="000B4A18">
        <w:rPr>
          <w:rFonts w:ascii="Garamond" w:hAnsi="Garamond"/>
          <w:noProof/>
          <w:sz w:val="24"/>
          <w:szCs w:val="24"/>
          <w:lang w:eastAsia="es-CL"/>
        </w:rPr>
        <w:drawing>
          <wp:inline distT="0" distB="0" distL="0" distR="0" wp14:anchorId="40323B52" wp14:editId="621A8584">
            <wp:extent cx="4666890" cy="2467155"/>
            <wp:effectExtent l="0" t="0" r="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087F" w:rsidRPr="00BE32AE" w:rsidRDefault="0044087F" w:rsidP="00425DA4">
      <w:pPr>
        <w:spacing w:after="240" w:line="288" w:lineRule="auto"/>
        <w:ind w:left="426"/>
        <w:jc w:val="both"/>
        <w:rPr>
          <w:rFonts w:ascii="Garamond" w:hAnsi="Garamond"/>
          <w:sz w:val="24"/>
          <w:szCs w:val="24"/>
        </w:rPr>
      </w:pPr>
      <w:r w:rsidRPr="002C507E">
        <w:rPr>
          <w:rFonts w:ascii="Garamond" w:hAnsi="Garamond"/>
          <w:noProof/>
          <w:sz w:val="24"/>
          <w:szCs w:val="24"/>
          <w:lang w:eastAsia="es-CL"/>
        </w:rPr>
        <w:drawing>
          <wp:inline distT="0" distB="0" distL="0" distR="0" wp14:anchorId="6E1C4BB0" wp14:editId="4E909673">
            <wp:extent cx="4666890" cy="2648309"/>
            <wp:effectExtent l="0" t="0" r="0" b="0"/>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23AF" w:rsidRDefault="00740F4C" w:rsidP="000C1827">
      <w:pPr>
        <w:tabs>
          <w:tab w:val="left" w:pos="180"/>
        </w:tabs>
        <w:spacing w:after="240" w:line="288" w:lineRule="auto"/>
        <w:jc w:val="both"/>
        <w:rPr>
          <w:rFonts w:ascii="Garamond" w:hAnsi="Garamond"/>
          <w:sz w:val="24"/>
          <w:szCs w:val="24"/>
        </w:rPr>
      </w:pPr>
      <w:r w:rsidRPr="00BE32AE">
        <w:rPr>
          <w:rFonts w:ascii="Garamond" w:hAnsi="Garamond"/>
          <w:sz w:val="24"/>
          <w:szCs w:val="24"/>
        </w:rPr>
        <w:t xml:space="preserve">El </w:t>
      </w:r>
      <w:r w:rsidR="006F554E">
        <w:rPr>
          <w:rFonts w:ascii="Garamond" w:hAnsi="Garamond"/>
          <w:sz w:val="24"/>
          <w:szCs w:val="24"/>
        </w:rPr>
        <w:t>PIB</w:t>
      </w:r>
      <w:r w:rsidRPr="00BE32AE">
        <w:rPr>
          <w:rFonts w:ascii="Garamond" w:hAnsi="Garamond"/>
          <w:sz w:val="24"/>
          <w:szCs w:val="24"/>
        </w:rPr>
        <w:t xml:space="preserve">, como estimador de la actividad trajo </w:t>
      </w:r>
      <w:r w:rsidR="005F5A8A" w:rsidRPr="00BE32AE">
        <w:rPr>
          <w:rFonts w:ascii="Garamond" w:hAnsi="Garamond"/>
          <w:sz w:val="24"/>
          <w:szCs w:val="24"/>
        </w:rPr>
        <w:t xml:space="preserve">importantes </w:t>
      </w:r>
      <w:r w:rsidRPr="00BE32AE">
        <w:rPr>
          <w:rFonts w:ascii="Garamond" w:hAnsi="Garamond"/>
          <w:sz w:val="24"/>
          <w:szCs w:val="24"/>
        </w:rPr>
        <w:t xml:space="preserve">variaciones en </w:t>
      </w:r>
      <w:r w:rsidR="00D60937" w:rsidRPr="00BE32AE">
        <w:rPr>
          <w:rFonts w:ascii="Garamond" w:hAnsi="Garamond"/>
          <w:sz w:val="24"/>
          <w:szCs w:val="24"/>
        </w:rPr>
        <w:t xml:space="preserve">26 años </w:t>
      </w:r>
      <w:r w:rsidRPr="00BE32AE">
        <w:rPr>
          <w:rFonts w:ascii="Garamond" w:hAnsi="Garamond"/>
          <w:sz w:val="24"/>
          <w:szCs w:val="24"/>
        </w:rPr>
        <w:t>para la mayoría de las regiones</w:t>
      </w:r>
      <w:r w:rsidR="00D60937" w:rsidRPr="00BE32AE">
        <w:rPr>
          <w:rFonts w:ascii="Garamond" w:hAnsi="Garamond"/>
          <w:sz w:val="24"/>
          <w:szCs w:val="24"/>
        </w:rPr>
        <w:t>.</w:t>
      </w:r>
      <w:r w:rsidRPr="00BE32AE">
        <w:rPr>
          <w:rFonts w:ascii="Garamond" w:hAnsi="Garamond"/>
          <w:sz w:val="24"/>
          <w:szCs w:val="24"/>
        </w:rPr>
        <w:t xml:space="preserve">  De éstas, </w:t>
      </w:r>
      <w:r w:rsidR="00142A59" w:rsidRPr="00BE32AE">
        <w:rPr>
          <w:rFonts w:ascii="Garamond" w:hAnsi="Garamond"/>
          <w:sz w:val="24"/>
          <w:szCs w:val="24"/>
        </w:rPr>
        <w:t>5</w:t>
      </w:r>
      <w:r w:rsidR="00D60937" w:rsidRPr="00BE32AE">
        <w:rPr>
          <w:rFonts w:ascii="Garamond" w:hAnsi="Garamond"/>
          <w:sz w:val="24"/>
          <w:szCs w:val="24"/>
        </w:rPr>
        <w:t xml:space="preserve"> crecen más </w:t>
      </w:r>
      <w:r w:rsidR="009E1D6E" w:rsidRPr="00BE32AE">
        <w:rPr>
          <w:rFonts w:ascii="Garamond" w:hAnsi="Garamond"/>
          <w:sz w:val="24"/>
          <w:szCs w:val="24"/>
        </w:rPr>
        <w:t>que el país</w:t>
      </w:r>
      <w:r w:rsidR="00D60937" w:rsidRPr="00BE32AE">
        <w:rPr>
          <w:rFonts w:ascii="Garamond" w:hAnsi="Garamond"/>
          <w:sz w:val="24"/>
          <w:szCs w:val="24"/>
        </w:rPr>
        <w:t xml:space="preserve">, </w:t>
      </w:r>
      <w:r w:rsidR="009E1D6E" w:rsidRPr="00BE32AE">
        <w:rPr>
          <w:rFonts w:ascii="Garamond" w:hAnsi="Garamond"/>
          <w:sz w:val="24"/>
          <w:szCs w:val="24"/>
        </w:rPr>
        <w:t>y 8 por debajo de su nivel</w:t>
      </w:r>
      <w:r w:rsidR="00D60937" w:rsidRPr="00BE32AE">
        <w:rPr>
          <w:rFonts w:ascii="Garamond" w:hAnsi="Garamond"/>
          <w:sz w:val="24"/>
          <w:szCs w:val="24"/>
        </w:rPr>
        <w:t xml:space="preserve">; fluctuando entre </w:t>
      </w:r>
      <w:r w:rsidR="009E1D6E" w:rsidRPr="00BE32AE">
        <w:rPr>
          <w:rFonts w:ascii="Garamond" w:hAnsi="Garamond"/>
          <w:sz w:val="24"/>
          <w:szCs w:val="24"/>
        </w:rPr>
        <w:t>461,7</w:t>
      </w:r>
      <w:r w:rsidR="00D60937" w:rsidRPr="00BE32AE">
        <w:rPr>
          <w:rFonts w:ascii="Garamond" w:hAnsi="Garamond"/>
          <w:sz w:val="24"/>
          <w:szCs w:val="24"/>
        </w:rPr>
        <w:t>%</w:t>
      </w:r>
      <w:r w:rsidR="009E1D6E" w:rsidRPr="00BE32AE">
        <w:rPr>
          <w:rFonts w:ascii="Garamond" w:hAnsi="Garamond"/>
          <w:sz w:val="24"/>
          <w:szCs w:val="24"/>
        </w:rPr>
        <w:t xml:space="preserve">, </w:t>
      </w:r>
      <w:r w:rsidR="00430273" w:rsidRPr="00BE32AE">
        <w:rPr>
          <w:rFonts w:ascii="Garamond" w:hAnsi="Garamond"/>
          <w:sz w:val="24"/>
          <w:szCs w:val="24"/>
        </w:rPr>
        <w:t xml:space="preserve">en </w:t>
      </w:r>
      <w:r w:rsidR="009E1D6E" w:rsidRPr="00BE32AE">
        <w:rPr>
          <w:rFonts w:ascii="Garamond" w:hAnsi="Garamond"/>
          <w:sz w:val="24"/>
          <w:szCs w:val="24"/>
        </w:rPr>
        <w:t>Atacama,</w:t>
      </w:r>
      <w:r w:rsidR="00D60937" w:rsidRPr="00BE32AE">
        <w:rPr>
          <w:rFonts w:ascii="Garamond" w:hAnsi="Garamond"/>
          <w:sz w:val="24"/>
          <w:szCs w:val="24"/>
        </w:rPr>
        <w:t xml:space="preserve"> y </w:t>
      </w:r>
      <w:r w:rsidR="009E1D6E" w:rsidRPr="00BE32AE">
        <w:rPr>
          <w:rFonts w:ascii="Garamond" w:hAnsi="Garamond"/>
          <w:sz w:val="24"/>
          <w:szCs w:val="24"/>
        </w:rPr>
        <w:t>53,9</w:t>
      </w:r>
      <w:r w:rsidR="00D60937" w:rsidRPr="00BE32AE">
        <w:rPr>
          <w:rFonts w:ascii="Garamond" w:hAnsi="Garamond"/>
          <w:sz w:val="24"/>
          <w:szCs w:val="24"/>
        </w:rPr>
        <w:t>%</w:t>
      </w:r>
      <w:r w:rsidRPr="00BE32AE">
        <w:rPr>
          <w:rFonts w:ascii="Garamond" w:hAnsi="Garamond"/>
          <w:sz w:val="24"/>
          <w:szCs w:val="24"/>
        </w:rPr>
        <w:t xml:space="preserve">, </w:t>
      </w:r>
      <w:r w:rsidR="00430273" w:rsidRPr="00BE32AE">
        <w:rPr>
          <w:rFonts w:ascii="Garamond" w:hAnsi="Garamond"/>
          <w:sz w:val="24"/>
          <w:szCs w:val="24"/>
        </w:rPr>
        <w:t>en</w:t>
      </w:r>
      <w:r w:rsidR="009E1D6E" w:rsidRPr="00BE32AE">
        <w:rPr>
          <w:rFonts w:ascii="Garamond" w:hAnsi="Garamond"/>
          <w:sz w:val="24"/>
          <w:szCs w:val="24"/>
        </w:rPr>
        <w:t xml:space="preserve">Magallanes, y </w:t>
      </w:r>
      <w:r w:rsidRPr="00BE32AE">
        <w:rPr>
          <w:rFonts w:ascii="Garamond" w:hAnsi="Garamond"/>
          <w:sz w:val="24"/>
          <w:szCs w:val="24"/>
        </w:rPr>
        <w:t xml:space="preserve">una mediana de </w:t>
      </w:r>
      <w:r w:rsidR="009E1D6E" w:rsidRPr="00BE32AE">
        <w:rPr>
          <w:rFonts w:ascii="Garamond" w:hAnsi="Garamond"/>
          <w:sz w:val="24"/>
          <w:szCs w:val="24"/>
        </w:rPr>
        <w:t>261,1</w:t>
      </w:r>
      <w:r w:rsidRPr="00BE32AE">
        <w:rPr>
          <w:rFonts w:ascii="Garamond" w:hAnsi="Garamond"/>
          <w:sz w:val="24"/>
          <w:szCs w:val="24"/>
        </w:rPr>
        <w:t>%</w:t>
      </w:r>
      <w:r w:rsidR="00D60937" w:rsidRPr="00BE32AE">
        <w:rPr>
          <w:rFonts w:ascii="Garamond" w:hAnsi="Garamond"/>
          <w:sz w:val="24"/>
          <w:szCs w:val="24"/>
        </w:rPr>
        <w:t xml:space="preserve">. </w:t>
      </w:r>
      <w:r w:rsidR="006C23AF" w:rsidRPr="00BE32AE">
        <w:rPr>
          <w:rFonts w:ascii="Garamond" w:hAnsi="Garamond"/>
          <w:sz w:val="24"/>
          <w:szCs w:val="24"/>
        </w:rPr>
        <w:t>En las regiones de mayor tamaño, Santiago crece 318,6%, seguido de Antofagasta, 237,2%, Val</w:t>
      </w:r>
      <w:r w:rsidR="006F554E">
        <w:rPr>
          <w:rFonts w:ascii="Garamond" w:hAnsi="Garamond"/>
          <w:sz w:val="24"/>
          <w:szCs w:val="24"/>
        </w:rPr>
        <w:t>paraíso, 185,4% y Biobío 179,5%</w:t>
      </w:r>
      <w:r w:rsidR="006C23AF" w:rsidRPr="00BE32AE">
        <w:rPr>
          <w:rFonts w:ascii="Garamond" w:hAnsi="Garamond"/>
          <w:sz w:val="24"/>
          <w:szCs w:val="24"/>
        </w:rPr>
        <w:t xml:space="preserve">.  </w:t>
      </w:r>
    </w:p>
    <w:p w:rsidR="00425DA4" w:rsidRDefault="00425DA4" w:rsidP="00425DA4">
      <w:pPr>
        <w:tabs>
          <w:tab w:val="left" w:pos="180"/>
        </w:tabs>
        <w:spacing w:after="240" w:line="288" w:lineRule="auto"/>
        <w:ind w:left="426"/>
        <w:jc w:val="both"/>
        <w:rPr>
          <w:rFonts w:ascii="Garamond" w:hAnsi="Garamond"/>
          <w:sz w:val="24"/>
          <w:szCs w:val="24"/>
        </w:rPr>
      </w:pPr>
      <w:r>
        <w:rPr>
          <w:noProof/>
          <w:lang w:eastAsia="es-CL"/>
        </w:rPr>
        <w:drawing>
          <wp:inline distT="0" distB="0" distL="0" distR="0" wp14:anchorId="4E27B3E5" wp14:editId="06345EDE">
            <wp:extent cx="4623758" cy="2889849"/>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5DA4" w:rsidRPr="00BE32AE" w:rsidRDefault="00425DA4" w:rsidP="000C1827">
      <w:pPr>
        <w:tabs>
          <w:tab w:val="left" w:pos="180"/>
        </w:tabs>
        <w:spacing w:after="240" w:line="288" w:lineRule="auto"/>
        <w:jc w:val="both"/>
        <w:rPr>
          <w:rFonts w:ascii="Garamond" w:hAnsi="Garamond"/>
          <w:sz w:val="24"/>
          <w:szCs w:val="24"/>
        </w:rPr>
      </w:pPr>
    </w:p>
    <w:p w:rsidR="009E6B39" w:rsidRPr="00BE32AE" w:rsidRDefault="009E6B39" w:rsidP="000C1827">
      <w:pPr>
        <w:tabs>
          <w:tab w:val="left" w:pos="180"/>
        </w:tabs>
        <w:spacing w:after="240" w:line="288" w:lineRule="auto"/>
        <w:jc w:val="both"/>
        <w:rPr>
          <w:rFonts w:ascii="Garamond" w:hAnsi="Garamond"/>
          <w:sz w:val="24"/>
          <w:szCs w:val="24"/>
        </w:rPr>
      </w:pPr>
      <w:r w:rsidRPr="00BE32AE">
        <w:rPr>
          <w:rFonts w:ascii="Garamond" w:hAnsi="Garamond"/>
          <w:sz w:val="24"/>
          <w:szCs w:val="24"/>
        </w:rPr>
        <w:t xml:space="preserve">En tanto, el incremento del producto per capita ha fluctuado entre un </w:t>
      </w:r>
      <w:r w:rsidR="009E1D6E" w:rsidRPr="00BE32AE">
        <w:rPr>
          <w:rFonts w:ascii="Garamond" w:hAnsi="Garamond"/>
          <w:sz w:val="24"/>
          <w:szCs w:val="24"/>
        </w:rPr>
        <w:t>297,3</w:t>
      </w:r>
      <w:r w:rsidRPr="00BE32AE">
        <w:rPr>
          <w:rFonts w:ascii="Garamond" w:hAnsi="Garamond"/>
          <w:sz w:val="24"/>
          <w:szCs w:val="24"/>
        </w:rPr>
        <w:t xml:space="preserve">% </w:t>
      </w:r>
      <w:r w:rsidR="009E1D6E" w:rsidRPr="00BE32AE">
        <w:rPr>
          <w:rFonts w:ascii="Garamond" w:hAnsi="Garamond"/>
          <w:sz w:val="24"/>
          <w:szCs w:val="24"/>
        </w:rPr>
        <w:t>en</w:t>
      </w:r>
      <w:r w:rsidRPr="00BE32AE">
        <w:rPr>
          <w:rFonts w:ascii="Garamond" w:hAnsi="Garamond"/>
          <w:sz w:val="24"/>
          <w:szCs w:val="24"/>
        </w:rPr>
        <w:t xml:space="preserve"> Atacama, y un casi estacionario </w:t>
      </w:r>
      <w:r w:rsidR="006C23AF" w:rsidRPr="00BE32AE">
        <w:rPr>
          <w:rFonts w:ascii="Garamond" w:hAnsi="Garamond"/>
          <w:sz w:val="24"/>
          <w:szCs w:val="24"/>
        </w:rPr>
        <w:t>30,6</w:t>
      </w:r>
      <w:r w:rsidRPr="00BE32AE">
        <w:rPr>
          <w:rFonts w:ascii="Garamond" w:hAnsi="Garamond"/>
          <w:sz w:val="24"/>
          <w:szCs w:val="24"/>
        </w:rPr>
        <w:t xml:space="preserve">% </w:t>
      </w:r>
      <w:r w:rsidR="006C23AF" w:rsidRPr="00BE32AE">
        <w:rPr>
          <w:rFonts w:ascii="Garamond" w:hAnsi="Garamond"/>
          <w:sz w:val="24"/>
          <w:szCs w:val="24"/>
        </w:rPr>
        <w:t>en</w:t>
      </w:r>
      <w:r w:rsidRPr="00BE32AE">
        <w:rPr>
          <w:rFonts w:ascii="Garamond" w:hAnsi="Garamond"/>
          <w:sz w:val="24"/>
          <w:szCs w:val="24"/>
        </w:rPr>
        <w:t xml:space="preserve"> Magallanes</w:t>
      </w:r>
      <w:r w:rsidR="006C23AF" w:rsidRPr="00BE32AE">
        <w:rPr>
          <w:rFonts w:ascii="Garamond" w:hAnsi="Garamond"/>
          <w:sz w:val="24"/>
          <w:szCs w:val="24"/>
        </w:rPr>
        <w:t xml:space="preserve">, situándose 4 regiones sobre el promedio </w:t>
      </w:r>
      <w:r w:rsidR="008D1C17" w:rsidRPr="00BE32AE">
        <w:rPr>
          <w:rFonts w:ascii="Garamond" w:hAnsi="Garamond"/>
          <w:sz w:val="24"/>
          <w:szCs w:val="24"/>
        </w:rPr>
        <w:t xml:space="preserve">del </w:t>
      </w:r>
      <w:r w:rsidR="006C23AF" w:rsidRPr="00BE32AE">
        <w:rPr>
          <w:rFonts w:ascii="Garamond" w:hAnsi="Garamond"/>
          <w:sz w:val="24"/>
          <w:szCs w:val="24"/>
        </w:rPr>
        <w:t>país, y 9 por debajo de éste; con una mediana de 170,9%</w:t>
      </w:r>
    </w:p>
    <w:p w:rsidR="00D779BB" w:rsidRPr="00BE32AE" w:rsidRDefault="009C21F7" w:rsidP="000C1827">
      <w:pPr>
        <w:tabs>
          <w:tab w:val="left" w:pos="180"/>
        </w:tabs>
        <w:spacing w:after="240" w:line="288" w:lineRule="auto"/>
        <w:jc w:val="both"/>
        <w:rPr>
          <w:rFonts w:ascii="Garamond" w:hAnsi="Garamond"/>
          <w:sz w:val="24"/>
          <w:szCs w:val="24"/>
        </w:rPr>
      </w:pPr>
      <w:r w:rsidRPr="00BE32AE">
        <w:rPr>
          <w:rFonts w:ascii="Garamond" w:hAnsi="Garamond"/>
          <w:sz w:val="24"/>
          <w:szCs w:val="24"/>
        </w:rPr>
        <w:t xml:space="preserve">Para las regiones mineras, </w:t>
      </w:r>
      <w:r w:rsidR="001E7999" w:rsidRPr="00BE32AE">
        <w:rPr>
          <w:rFonts w:ascii="Garamond" w:hAnsi="Garamond"/>
          <w:sz w:val="24"/>
          <w:szCs w:val="24"/>
        </w:rPr>
        <w:t>el crecimiento</w:t>
      </w:r>
      <w:r w:rsidR="00321FB8" w:rsidRPr="00BE32AE">
        <w:rPr>
          <w:rFonts w:ascii="Garamond" w:hAnsi="Garamond"/>
          <w:sz w:val="24"/>
          <w:szCs w:val="24"/>
        </w:rPr>
        <w:t xml:space="preserve"> promedio</w:t>
      </w:r>
      <w:r w:rsidR="00321FB8" w:rsidRPr="00BE32AE">
        <w:rPr>
          <w:rStyle w:val="Refdenotaalpie"/>
          <w:rFonts w:ascii="Garamond" w:hAnsi="Garamond"/>
          <w:sz w:val="24"/>
          <w:szCs w:val="24"/>
        </w:rPr>
        <w:footnoteReference w:id="3"/>
      </w:r>
      <w:r w:rsidR="004F751C" w:rsidRPr="00BE32AE">
        <w:rPr>
          <w:rFonts w:ascii="Garamond" w:hAnsi="Garamond"/>
          <w:sz w:val="24"/>
          <w:szCs w:val="24"/>
        </w:rPr>
        <w:t>es de 281,5%</w:t>
      </w:r>
      <w:r w:rsidR="00321FB8" w:rsidRPr="00BE32AE">
        <w:rPr>
          <w:rFonts w:ascii="Garamond" w:hAnsi="Garamond"/>
          <w:sz w:val="24"/>
          <w:szCs w:val="24"/>
        </w:rPr>
        <w:t xml:space="preserve"> (17,7 puntos po</w:t>
      </w:r>
      <w:r w:rsidR="00EF69C8" w:rsidRPr="00BE32AE">
        <w:rPr>
          <w:rFonts w:ascii="Garamond" w:hAnsi="Garamond"/>
          <w:sz w:val="24"/>
          <w:szCs w:val="24"/>
        </w:rPr>
        <w:t>rcentuales por debajo del país)</w:t>
      </w:r>
      <w:r w:rsidR="00321FB8" w:rsidRPr="00BE32AE">
        <w:rPr>
          <w:rFonts w:ascii="Garamond" w:hAnsi="Garamond"/>
          <w:sz w:val="24"/>
          <w:szCs w:val="24"/>
        </w:rPr>
        <w:t>; y en tanto el avance del PIB</w:t>
      </w:r>
      <w:r w:rsidR="008D1C17" w:rsidRPr="00BE32AE">
        <w:rPr>
          <w:rFonts w:ascii="Garamond" w:hAnsi="Garamond"/>
          <w:sz w:val="24"/>
          <w:szCs w:val="24"/>
        </w:rPr>
        <w:t>per capita</w:t>
      </w:r>
      <w:r w:rsidR="001E7999" w:rsidRPr="00BE32AE">
        <w:rPr>
          <w:rFonts w:ascii="Garamond" w:hAnsi="Garamond"/>
          <w:sz w:val="24"/>
          <w:szCs w:val="24"/>
        </w:rPr>
        <w:t xml:space="preserve">es de </w:t>
      </w:r>
      <w:r w:rsidR="00707E1E" w:rsidRPr="00BE32AE">
        <w:rPr>
          <w:rFonts w:ascii="Garamond" w:hAnsi="Garamond"/>
          <w:sz w:val="24"/>
          <w:szCs w:val="24"/>
        </w:rPr>
        <w:t>139,9</w:t>
      </w:r>
      <w:r w:rsidR="008D1C17" w:rsidRPr="00BE32AE">
        <w:rPr>
          <w:rFonts w:ascii="Garamond" w:hAnsi="Garamond"/>
          <w:sz w:val="24"/>
          <w:szCs w:val="24"/>
        </w:rPr>
        <w:t>%</w:t>
      </w:r>
      <w:r w:rsidR="00707E1E" w:rsidRPr="00BE32AE">
        <w:rPr>
          <w:rFonts w:ascii="Garamond" w:hAnsi="Garamond"/>
          <w:sz w:val="24"/>
          <w:szCs w:val="24"/>
        </w:rPr>
        <w:t xml:space="preserve"> (40 puntos porcentuales por debajo del país), con una mediana de 147,5%</w:t>
      </w:r>
      <w:r w:rsidR="00321FB8" w:rsidRPr="00BE32AE">
        <w:rPr>
          <w:rFonts w:ascii="Garamond" w:hAnsi="Garamond"/>
          <w:sz w:val="24"/>
          <w:szCs w:val="24"/>
        </w:rPr>
        <w:t>. Est</w:t>
      </w:r>
      <w:r w:rsidR="008169E8" w:rsidRPr="00BE32AE">
        <w:rPr>
          <w:rFonts w:ascii="Garamond" w:hAnsi="Garamond"/>
          <w:sz w:val="24"/>
          <w:szCs w:val="24"/>
        </w:rPr>
        <w:t xml:space="preserve">as variaciones </w:t>
      </w:r>
      <w:r w:rsidR="001D1E33">
        <w:rPr>
          <w:rFonts w:ascii="Garamond" w:hAnsi="Garamond"/>
          <w:sz w:val="24"/>
          <w:szCs w:val="24"/>
        </w:rPr>
        <w:t>de</w:t>
      </w:r>
      <w:r w:rsidR="00B43F6A">
        <w:rPr>
          <w:rFonts w:ascii="Garamond" w:hAnsi="Garamond"/>
          <w:sz w:val="24"/>
          <w:szCs w:val="24"/>
        </w:rPr>
        <w:t>l</w:t>
      </w:r>
      <w:r w:rsidR="001D1E33">
        <w:rPr>
          <w:rFonts w:ascii="Garamond" w:hAnsi="Garamond"/>
          <w:sz w:val="24"/>
          <w:szCs w:val="24"/>
        </w:rPr>
        <w:t xml:space="preserve"> PIB per c</w:t>
      </w:r>
      <w:r w:rsidR="00B43F6A">
        <w:rPr>
          <w:rFonts w:ascii="Garamond" w:hAnsi="Garamond"/>
          <w:sz w:val="24"/>
          <w:szCs w:val="24"/>
        </w:rPr>
        <w:t>á</w:t>
      </w:r>
      <w:r w:rsidR="001D1E33">
        <w:rPr>
          <w:rFonts w:ascii="Garamond" w:hAnsi="Garamond"/>
          <w:sz w:val="24"/>
          <w:szCs w:val="24"/>
        </w:rPr>
        <w:t xml:space="preserve">pita </w:t>
      </w:r>
      <w:r w:rsidR="008169E8" w:rsidRPr="00BE32AE">
        <w:rPr>
          <w:rFonts w:ascii="Garamond" w:hAnsi="Garamond"/>
          <w:sz w:val="24"/>
          <w:szCs w:val="24"/>
        </w:rPr>
        <w:t xml:space="preserve">se </w:t>
      </w:r>
      <w:r w:rsidR="00707E1E" w:rsidRPr="00BE32AE">
        <w:rPr>
          <w:rFonts w:ascii="Garamond" w:hAnsi="Garamond"/>
          <w:sz w:val="24"/>
          <w:szCs w:val="24"/>
        </w:rPr>
        <w:t>distribuye</w:t>
      </w:r>
      <w:r w:rsidR="008169E8" w:rsidRPr="00BE32AE">
        <w:rPr>
          <w:rFonts w:ascii="Garamond" w:hAnsi="Garamond"/>
          <w:sz w:val="24"/>
          <w:szCs w:val="24"/>
        </w:rPr>
        <w:t>n</w:t>
      </w:r>
      <w:r w:rsidR="008D1C17" w:rsidRPr="00BE32AE">
        <w:rPr>
          <w:rFonts w:ascii="Garamond" w:hAnsi="Garamond"/>
          <w:sz w:val="24"/>
          <w:szCs w:val="24"/>
        </w:rPr>
        <w:t>en</w:t>
      </w:r>
      <w:r w:rsidR="00B43F6A">
        <w:rPr>
          <w:rFonts w:ascii="Garamond" w:hAnsi="Garamond"/>
          <w:sz w:val="24"/>
          <w:szCs w:val="24"/>
        </w:rPr>
        <w:t>tre</w:t>
      </w:r>
      <w:r w:rsidR="008D1C17" w:rsidRPr="00BE32AE">
        <w:rPr>
          <w:rFonts w:ascii="Garamond" w:hAnsi="Garamond"/>
          <w:sz w:val="24"/>
          <w:szCs w:val="24"/>
        </w:rPr>
        <w:t xml:space="preserve"> Atacama, </w:t>
      </w:r>
      <w:r w:rsidR="00707E1E" w:rsidRPr="00BE32AE">
        <w:rPr>
          <w:rFonts w:ascii="Garamond" w:hAnsi="Garamond"/>
          <w:sz w:val="24"/>
          <w:szCs w:val="24"/>
        </w:rPr>
        <w:t>con 297,3</w:t>
      </w:r>
      <w:r w:rsidR="008D1C17" w:rsidRPr="00BE32AE">
        <w:rPr>
          <w:rFonts w:ascii="Garamond" w:hAnsi="Garamond"/>
          <w:sz w:val="24"/>
          <w:szCs w:val="24"/>
        </w:rPr>
        <w:t>%</w:t>
      </w:r>
      <w:r w:rsidR="00171E37" w:rsidRPr="00BE32AE">
        <w:rPr>
          <w:rFonts w:ascii="Garamond" w:hAnsi="Garamond"/>
          <w:sz w:val="24"/>
          <w:szCs w:val="24"/>
        </w:rPr>
        <w:t xml:space="preserve"> y </w:t>
      </w:r>
      <w:r w:rsidR="008D1C17" w:rsidRPr="00BE32AE">
        <w:rPr>
          <w:rFonts w:ascii="Garamond" w:hAnsi="Garamond"/>
          <w:sz w:val="24"/>
          <w:szCs w:val="24"/>
        </w:rPr>
        <w:t xml:space="preserve">Coquimbo, </w:t>
      </w:r>
      <w:r w:rsidR="00171E37" w:rsidRPr="00BE32AE">
        <w:rPr>
          <w:rFonts w:ascii="Garamond" w:hAnsi="Garamond"/>
          <w:sz w:val="24"/>
          <w:szCs w:val="24"/>
        </w:rPr>
        <w:t xml:space="preserve">182,1%, por sobre el promedio país; y por bajo el promedio, </w:t>
      </w:r>
      <w:r w:rsidR="00B43F6A">
        <w:rPr>
          <w:rFonts w:ascii="Garamond" w:hAnsi="Garamond"/>
          <w:sz w:val="24"/>
          <w:szCs w:val="24"/>
        </w:rPr>
        <w:t xml:space="preserve">en </w:t>
      </w:r>
      <w:r w:rsidR="008D1C17" w:rsidRPr="00BE32AE">
        <w:rPr>
          <w:rFonts w:ascii="Garamond" w:hAnsi="Garamond"/>
          <w:sz w:val="24"/>
          <w:szCs w:val="24"/>
        </w:rPr>
        <w:t>Antofagasta</w:t>
      </w:r>
      <w:r w:rsidR="00707E1E" w:rsidRPr="00BE32AE">
        <w:rPr>
          <w:rFonts w:ascii="Garamond" w:hAnsi="Garamond"/>
          <w:sz w:val="24"/>
          <w:szCs w:val="24"/>
        </w:rPr>
        <w:t>,113,0</w:t>
      </w:r>
      <w:r w:rsidR="008D1C17" w:rsidRPr="00BE32AE">
        <w:rPr>
          <w:rFonts w:ascii="Garamond" w:hAnsi="Garamond"/>
          <w:sz w:val="24"/>
          <w:szCs w:val="24"/>
        </w:rPr>
        <w:t xml:space="preserve">% </w:t>
      </w:r>
      <w:r w:rsidR="00707E1E" w:rsidRPr="00BE32AE">
        <w:rPr>
          <w:rFonts w:ascii="Garamond" w:hAnsi="Garamond"/>
          <w:sz w:val="24"/>
          <w:szCs w:val="24"/>
        </w:rPr>
        <w:t xml:space="preserve">y </w:t>
      </w:r>
      <w:r w:rsidRPr="00BE32AE">
        <w:rPr>
          <w:rFonts w:ascii="Garamond" w:hAnsi="Garamond"/>
          <w:sz w:val="24"/>
          <w:szCs w:val="24"/>
        </w:rPr>
        <w:t>Tarapacá</w:t>
      </w:r>
      <w:r w:rsidR="00707E1E" w:rsidRPr="00BE32AE">
        <w:rPr>
          <w:rFonts w:ascii="Garamond" w:hAnsi="Garamond"/>
          <w:sz w:val="24"/>
          <w:szCs w:val="24"/>
        </w:rPr>
        <w:t>, 102,2</w:t>
      </w:r>
      <w:r w:rsidR="00321FB8" w:rsidRPr="00BE32AE">
        <w:rPr>
          <w:rFonts w:ascii="Garamond" w:hAnsi="Garamond"/>
          <w:sz w:val="24"/>
          <w:szCs w:val="24"/>
        </w:rPr>
        <w:t xml:space="preserve">%. </w:t>
      </w:r>
      <w:r w:rsidR="00D779BB" w:rsidRPr="00BE32AE">
        <w:rPr>
          <w:rFonts w:ascii="Garamond" w:hAnsi="Garamond"/>
          <w:sz w:val="24"/>
          <w:szCs w:val="24"/>
        </w:rPr>
        <w:t xml:space="preserve"> </w:t>
      </w:r>
    </w:p>
    <w:p w:rsidR="00823ADF" w:rsidRPr="00BE32AE" w:rsidRDefault="00296AE5" w:rsidP="000C1827">
      <w:pPr>
        <w:tabs>
          <w:tab w:val="left" w:pos="180"/>
        </w:tabs>
        <w:spacing w:after="240" w:line="288" w:lineRule="auto"/>
        <w:jc w:val="both"/>
        <w:rPr>
          <w:rFonts w:ascii="Garamond" w:hAnsi="Garamond"/>
          <w:sz w:val="24"/>
          <w:szCs w:val="24"/>
        </w:rPr>
      </w:pPr>
      <w:r w:rsidRPr="00BE32AE">
        <w:rPr>
          <w:rFonts w:ascii="Garamond" w:hAnsi="Garamond"/>
          <w:sz w:val="24"/>
          <w:szCs w:val="24"/>
        </w:rPr>
        <w:t>Cabe señalar que e</w:t>
      </w:r>
      <w:r w:rsidR="008169E8" w:rsidRPr="00BE32AE">
        <w:rPr>
          <w:rFonts w:ascii="Garamond" w:hAnsi="Garamond"/>
          <w:sz w:val="24"/>
          <w:szCs w:val="24"/>
        </w:rPr>
        <w:t xml:space="preserve">l incremento de la población en 3 de estas 4 regiones se ubica en los primeros lugares a nivel nacional, afectando </w:t>
      </w:r>
      <w:r w:rsidR="00AF31EE" w:rsidRPr="00BE32AE">
        <w:rPr>
          <w:rFonts w:ascii="Garamond" w:hAnsi="Garamond"/>
          <w:sz w:val="24"/>
          <w:szCs w:val="24"/>
        </w:rPr>
        <w:t xml:space="preserve">una mayor brecha en </w:t>
      </w:r>
      <w:r w:rsidR="008169E8" w:rsidRPr="00BE32AE">
        <w:rPr>
          <w:rFonts w:ascii="Garamond" w:hAnsi="Garamond"/>
          <w:sz w:val="24"/>
          <w:szCs w:val="24"/>
        </w:rPr>
        <w:t xml:space="preserve">el producto por habitante, con respecto </w:t>
      </w:r>
      <w:r w:rsidR="00AF31EE" w:rsidRPr="00BE32AE">
        <w:rPr>
          <w:rFonts w:ascii="Garamond" w:hAnsi="Garamond"/>
          <w:sz w:val="24"/>
          <w:szCs w:val="24"/>
        </w:rPr>
        <w:t>al producto total.</w:t>
      </w:r>
      <w:r w:rsidR="00A31012" w:rsidRPr="00BE32AE">
        <w:rPr>
          <w:rStyle w:val="Refdenotaalpie"/>
          <w:rFonts w:ascii="Garamond" w:hAnsi="Garamond"/>
          <w:sz w:val="24"/>
          <w:szCs w:val="24"/>
        </w:rPr>
        <w:footnoteReference w:id="4"/>
      </w:r>
    </w:p>
    <w:p w:rsidR="00740F4C" w:rsidRPr="00BE32AE" w:rsidRDefault="00740F4C" w:rsidP="000C1827">
      <w:pPr>
        <w:tabs>
          <w:tab w:val="left" w:pos="180"/>
        </w:tabs>
        <w:spacing w:after="240" w:line="288" w:lineRule="auto"/>
        <w:jc w:val="both"/>
        <w:rPr>
          <w:rFonts w:ascii="Garamond" w:hAnsi="Garamond"/>
          <w:sz w:val="24"/>
          <w:szCs w:val="24"/>
        </w:rPr>
      </w:pPr>
      <w:r w:rsidRPr="00BE32AE">
        <w:rPr>
          <w:rFonts w:ascii="Garamond" w:hAnsi="Garamond"/>
          <w:sz w:val="24"/>
          <w:szCs w:val="24"/>
        </w:rPr>
        <w:t xml:space="preserve">En el tamaño de las regiones por su generación de riqueza </w:t>
      </w:r>
      <w:r w:rsidR="009E6B39" w:rsidRPr="00BE32AE">
        <w:rPr>
          <w:rFonts w:ascii="Garamond" w:hAnsi="Garamond"/>
          <w:sz w:val="24"/>
          <w:szCs w:val="24"/>
        </w:rPr>
        <w:t xml:space="preserve">en el año </w:t>
      </w:r>
      <w:r w:rsidR="009E6B39" w:rsidRPr="004021D5">
        <w:rPr>
          <w:rFonts w:ascii="Garamond" w:hAnsi="Garamond"/>
          <w:sz w:val="24"/>
          <w:szCs w:val="24"/>
        </w:rPr>
        <w:t>201</w:t>
      </w:r>
      <w:r w:rsidR="004021D5" w:rsidRPr="004021D5">
        <w:rPr>
          <w:rFonts w:ascii="Garamond" w:hAnsi="Garamond"/>
          <w:sz w:val="24"/>
          <w:szCs w:val="24"/>
        </w:rPr>
        <w:t>1</w:t>
      </w:r>
      <w:r w:rsidR="00B43F6A">
        <w:rPr>
          <w:rStyle w:val="Refdenotaalpie"/>
          <w:rFonts w:ascii="Garamond" w:hAnsi="Garamond"/>
          <w:sz w:val="24"/>
          <w:szCs w:val="24"/>
        </w:rPr>
        <w:footnoteReference w:id="5"/>
      </w:r>
      <w:r w:rsidR="009310DB">
        <w:rPr>
          <w:rStyle w:val="Refdenotaalpie"/>
          <w:rFonts w:ascii="Garamond" w:hAnsi="Garamond"/>
          <w:sz w:val="24"/>
          <w:szCs w:val="24"/>
        </w:rPr>
        <w:footnoteReference w:id="6"/>
      </w:r>
      <w:r w:rsidRPr="00BE32AE">
        <w:rPr>
          <w:rFonts w:ascii="Garamond" w:hAnsi="Garamond"/>
          <w:sz w:val="24"/>
          <w:szCs w:val="24"/>
        </w:rPr>
        <w:t>, se</w:t>
      </w:r>
      <w:r w:rsidR="000A3DED" w:rsidRPr="00BE32AE">
        <w:rPr>
          <w:rFonts w:ascii="Garamond" w:hAnsi="Garamond"/>
          <w:sz w:val="24"/>
          <w:szCs w:val="24"/>
        </w:rPr>
        <w:t xml:space="preserve"> pueden apreciar </w:t>
      </w:r>
      <w:r w:rsidR="009B63AD" w:rsidRPr="00BE32AE">
        <w:rPr>
          <w:rFonts w:ascii="Garamond" w:hAnsi="Garamond"/>
          <w:sz w:val="24"/>
          <w:szCs w:val="24"/>
        </w:rPr>
        <w:t>4</w:t>
      </w:r>
      <w:r w:rsidR="000A3DED" w:rsidRPr="00BE32AE">
        <w:rPr>
          <w:rFonts w:ascii="Garamond" w:hAnsi="Garamond"/>
          <w:sz w:val="24"/>
          <w:szCs w:val="24"/>
        </w:rPr>
        <w:t xml:space="preserve"> categorías. </w:t>
      </w:r>
      <w:r w:rsidRPr="00BE32AE">
        <w:rPr>
          <w:rFonts w:ascii="Garamond" w:hAnsi="Garamond"/>
          <w:sz w:val="24"/>
          <w:szCs w:val="24"/>
        </w:rPr>
        <w:t xml:space="preserve">En la primera se ubica la región de Santiago, que concentra un </w:t>
      </w:r>
      <w:r w:rsidR="00C719F7" w:rsidRPr="00BE32AE">
        <w:rPr>
          <w:rFonts w:ascii="Garamond" w:hAnsi="Garamond"/>
          <w:sz w:val="24"/>
          <w:szCs w:val="24"/>
        </w:rPr>
        <w:t>4</w:t>
      </w:r>
      <w:r w:rsidR="00AA39AB">
        <w:rPr>
          <w:rFonts w:ascii="Garamond" w:hAnsi="Garamond"/>
          <w:sz w:val="24"/>
          <w:szCs w:val="24"/>
        </w:rPr>
        <w:t>8,3</w:t>
      </w:r>
      <w:r w:rsidR="00C719F7" w:rsidRPr="00BE32AE">
        <w:rPr>
          <w:rFonts w:ascii="Garamond" w:hAnsi="Garamond"/>
          <w:sz w:val="24"/>
          <w:szCs w:val="24"/>
        </w:rPr>
        <w:t>% del PIB regionalizado</w:t>
      </w:r>
      <w:r w:rsidR="00C719F7" w:rsidRPr="00BE32AE">
        <w:rPr>
          <w:rStyle w:val="Refdenotaalpie"/>
          <w:rFonts w:ascii="Garamond" w:hAnsi="Garamond"/>
          <w:sz w:val="24"/>
          <w:szCs w:val="24"/>
        </w:rPr>
        <w:footnoteReference w:id="7"/>
      </w:r>
      <w:r w:rsidR="005C050A" w:rsidRPr="00BE32AE">
        <w:rPr>
          <w:rFonts w:ascii="Garamond" w:hAnsi="Garamond"/>
          <w:sz w:val="24"/>
          <w:szCs w:val="24"/>
        </w:rPr>
        <w:t>(4</w:t>
      </w:r>
      <w:r w:rsidR="00AA39AB">
        <w:rPr>
          <w:rFonts w:ascii="Garamond" w:hAnsi="Garamond"/>
          <w:sz w:val="24"/>
          <w:szCs w:val="24"/>
        </w:rPr>
        <w:t>3,91</w:t>
      </w:r>
      <w:r w:rsidR="005C050A" w:rsidRPr="00BE32AE">
        <w:rPr>
          <w:rFonts w:ascii="Garamond" w:hAnsi="Garamond"/>
          <w:sz w:val="24"/>
          <w:szCs w:val="24"/>
        </w:rPr>
        <w:t xml:space="preserve">% del PIB total del país) </w:t>
      </w:r>
      <w:r w:rsidR="00C719F7" w:rsidRPr="00BE32AE">
        <w:rPr>
          <w:rFonts w:ascii="Garamond" w:hAnsi="Garamond"/>
          <w:sz w:val="24"/>
          <w:szCs w:val="24"/>
        </w:rPr>
        <w:t xml:space="preserve">y </w:t>
      </w:r>
      <w:r w:rsidR="00062279" w:rsidRPr="00BE32AE">
        <w:rPr>
          <w:rFonts w:ascii="Garamond" w:hAnsi="Garamond"/>
          <w:sz w:val="24"/>
          <w:szCs w:val="24"/>
        </w:rPr>
        <w:t xml:space="preserve">ha evolucionado desde </w:t>
      </w:r>
      <w:r w:rsidR="005C050A" w:rsidRPr="00BE32AE">
        <w:rPr>
          <w:rFonts w:ascii="Garamond" w:hAnsi="Garamond"/>
          <w:sz w:val="24"/>
          <w:szCs w:val="24"/>
        </w:rPr>
        <w:t>4</w:t>
      </w:r>
      <w:r w:rsidR="00CE058D">
        <w:rPr>
          <w:rFonts w:ascii="Garamond" w:hAnsi="Garamond"/>
          <w:sz w:val="24"/>
          <w:szCs w:val="24"/>
        </w:rPr>
        <w:t>2,1</w:t>
      </w:r>
      <w:r w:rsidR="00C719F7" w:rsidRPr="00BE32AE">
        <w:rPr>
          <w:rFonts w:ascii="Garamond" w:hAnsi="Garamond"/>
          <w:sz w:val="24"/>
          <w:szCs w:val="24"/>
        </w:rPr>
        <w:t xml:space="preserve">% </w:t>
      </w:r>
      <w:r w:rsidR="005C050A" w:rsidRPr="00BE32AE">
        <w:rPr>
          <w:rFonts w:ascii="Garamond" w:hAnsi="Garamond"/>
          <w:sz w:val="24"/>
          <w:szCs w:val="24"/>
        </w:rPr>
        <w:t>en</w:t>
      </w:r>
      <w:r w:rsidR="00EE638B" w:rsidRPr="00BE32AE">
        <w:rPr>
          <w:rFonts w:ascii="Garamond" w:hAnsi="Garamond"/>
          <w:sz w:val="24"/>
          <w:szCs w:val="24"/>
        </w:rPr>
        <w:t xml:space="preserve"> 1985</w:t>
      </w:r>
      <w:r w:rsidR="00062279" w:rsidRPr="00BE32AE">
        <w:rPr>
          <w:rFonts w:ascii="Garamond" w:hAnsi="Garamond"/>
          <w:sz w:val="24"/>
          <w:szCs w:val="24"/>
        </w:rPr>
        <w:t xml:space="preserve">. En segundo lugar, </w:t>
      </w:r>
      <w:r w:rsidR="00CE058D">
        <w:rPr>
          <w:rFonts w:ascii="Garamond" w:hAnsi="Garamond"/>
          <w:sz w:val="24"/>
          <w:szCs w:val="24"/>
        </w:rPr>
        <w:t xml:space="preserve">se sitúan </w:t>
      </w:r>
      <w:r w:rsidRPr="00BE32AE">
        <w:rPr>
          <w:rFonts w:ascii="Garamond" w:hAnsi="Garamond"/>
          <w:sz w:val="24"/>
          <w:szCs w:val="24"/>
        </w:rPr>
        <w:t xml:space="preserve">a relativa distancia 3 regiones que son responsables del </w:t>
      </w:r>
      <w:r w:rsidR="00CE058D">
        <w:rPr>
          <w:rFonts w:ascii="Garamond" w:hAnsi="Garamond"/>
          <w:sz w:val="24"/>
          <w:szCs w:val="24"/>
        </w:rPr>
        <w:t>2</w:t>
      </w:r>
      <w:r w:rsidR="00AA39AB">
        <w:rPr>
          <w:rFonts w:ascii="Garamond" w:hAnsi="Garamond"/>
          <w:sz w:val="24"/>
          <w:szCs w:val="24"/>
        </w:rPr>
        <w:t>6,6</w:t>
      </w:r>
      <w:r w:rsidR="00CE058D">
        <w:rPr>
          <w:rFonts w:ascii="Garamond" w:hAnsi="Garamond"/>
          <w:sz w:val="24"/>
          <w:szCs w:val="24"/>
        </w:rPr>
        <w:t>% del PIB regionalizado (</w:t>
      </w:r>
      <w:r w:rsidR="00C719F7" w:rsidRPr="00BE32AE">
        <w:rPr>
          <w:rFonts w:ascii="Garamond" w:hAnsi="Garamond"/>
          <w:sz w:val="24"/>
          <w:szCs w:val="24"/>
        </w:rPr>
        <w:t>24,</w:t>
      </w:r>
      <w:r w:rsidR="009C539D" w:rsidRPr="00BE32AE">
        <w:rPr>
          <w:rFonts w:ascii="Garamond" w:hAnsi="Garamond"/>
          <w:sz w:val="24"/>
          <w:szCs w:val="24"/>
        </w:rPr>
        <w:t>1</w:t>
      </w:r>
      <w:r w:rsidR="00C719F7" w:rsidRPr="00BE32AE">
        <w:rPr>
          <w:rFonts w:ascii="Garamond" w:hAnsi="Garamond"/>
          <w:sz w:val="24"/>
          <w:szCs w:val="24"/>
        </w:rPr>
        <w:t>%</w:t>
      </w:r>
      <w:r w:rsidRPr="00BE32AE">
        <w:rPr>
          <w:rFonts w:ascii="Garamond" w:hAnsi="Garamond"/>
          <w:sz w:val="24"/>
          <w:szCs w:val="24"/>
        </w:rPr>
        <w:t xml:space="preserve"> del PIB</w:t>
      </w:r>
      <w:r w:rsidR="00CE058D">
        <w:rPr>
          <w:rFonts w:ascii="Garamond" w:hAnsi="Garamond"/>
          <w:sz w:val="24"/>
          <w:szCs w:val="24"/>
        </w:rPr>
        <w:t>)</w:t>
      </w:r>
      <w:r w:rsidRPr="00BE32AE">
        <w:rPr>
          <w:rFonts w:ascii="Garamond" w:hAnsi="Garamond"/>
          <w:sz w:val="24"/>
          <w:szCs w:val="24"/>
        </w:rPr>
        <w:t xml:space="preserve">, que son </w:t>
      </w:r>
      <w:r w:rsidR="00C719F7" w:rsidRPr="00BE32AE">
        <w:rPr>
          <w:rFonts w:ascii="Garamond" w:hAnsi="Garamond"/>
          <w:sz w:val="24"/>
          <w:szCs w:val="24"/>
        </w:rPr>
        <w:t xml:space="preserve">Antofagasta, </w:t>
      </w:r>
      <w:r w:rsidRPr="00BE32AE">
        <w:rPr>
          <w:rFonts w:ascii="Garamond" w:hAnsi="Garamond"/>
          <w:sz w:val="24"/>
          <w:szCs w:val="24"/>
        </w:rPr>
        <w:t>Bio</w:t>
      </w:r>
      <w:r w:rsidR="00C719F7" w:rsidRPr="00BE32AE">
        <w:rPr>
          <w:rFonts w:ascii="Garamond" w:hAnsi="Garamond"/>
          <w:sz w:val="24"/>
          <w:szCs w:val="24"/>
        </w:rPr>
        <w:t>bío y</w:t>
      </w:r>
      <w:r w:rsidRPr="00BE32AE">
        <w:rPr>
          <w:rFonts w:ascii="Garamond" w:hAnsi="Garamond"/>
          <w:sz w:val="24"/>
          <w:szCs w:val="24"/>
        </w:rPr>
        <w:t xml:space="preserve"> Valparaíso, con </w:t>
      </w:r>
      <w:r w:rsidR="00CE058D">
        <w:rPr>
          <w:rFonts w:ascii="Garamond" w:hAnsi="Garamond"/>
          <w:sz w:val="24"/>
          <w:szCs w:val="24"/>
        </w:rPr>
        <w:t>10,</w:t>
      </w:r>
      <w:r w:rsidR="00AA39AB">
        <w:rPr>
          <w:rFonts w:ascii="Garamond" w:hAnsi="Garamond"/>
          <w:sz w:val="24"/>
          <w:szCs w:val="24"/>
        </w:rPr>
        <w:t>2</w:t>
      </w:r>
      <w:r w:rsidR="00CE058D">
        <w:rPr>
          <w:rFonts w:ascii="Garamond" w:hAnsi="Garamond"/>
          <w:sz w:val="24"/>
          <w:szCs w:val="24"/>
        </w:rPr>
        <w:t>% (</w:t>
      </w:r>
      <w:r w:rsidR="00C719F7" w:rsidRPr="00BE32AE">
        <w:rPr>
          <w:rFonts w:ascii="Garamond" w:hAnsi="Garamond"/>
          <w:sz w:val="24"/>
          <w:szCs w:val="24"/>
        </w:rPr>
        <w:t>9,</w:t>
      </w:r>
      <w:r w:rsidR="00AA39AB">
        <w:rPr>
          <w:rFonts w:ascii="Garamond" w:hAnsi="Garamond"/>
          <w:sz w:val="24"/>
          <w:szCs w:val="24"/>
        </w:rPr>
        <w:t>3</w:t>
      </w:r>
      <w:r w:rsidR="00C719F7" w:rsidRPr="00BE32AE">
        <w:rPr>
          <w:rFonts w:ascii="Garamond" w:hAnsi="Garamond"/>
          <w:sz w:val="24"/>
          <w:szCs w:val="24"/>
        </w:rPr>
        <w:t>%</w:t>
      </w:r>
      <w:r w:rsidR="00CE058D">
        <w:rPr>
          <w:rFonts w:ascii="Garamond" w:hAnsi="Garamond"/>
          <w:sz w:val="24"/>
          <w:szCs w:val="24"/>
        </w:rPr>
        <w:t>)</w:t>
      </w:r>
      <w:r w:rsidRPr="00BE32AE">
        <w:rPr>
          <w:rFonts w:ascii="Garamond" w:hAnsi="Garamond"/>
          <w:sz w:val="24"/>
          <w:szCs w:val="24"/>
        </w:rPr>
        <w:t xml:space="preserve">, </w:t>
      </w:r>
      <w:r w:rsidR="00CE058D">
        <w:rPr>
          <w:rFonts w:ascii="Garamond" w:hAnsi="Garamond"/>
          <w:sz w:val="24"/>
          <w:szCs w:val="24"/>
        </w:rPr>
        <w:t>8,1</w:t>
      </w:r>
      <w:r w:rsidRPr="00BE32AE">
        <w:rPr>
          <w:rFonts w:ascii="Garamond" w:hAnsi="Garamond"/>
          <w:sz w:val="24"/>
          <w:szCs w:val="24"/>
        </w:rPr>
        <w:t xml:space="preserve">% </w:t>
      </w:r>
      <w:r w:rsidR="005A402B" w:rsidRPr="00BE32AE">
        <w:rPr>
          <w:rFonts w:ascii="Garamond" w:hAnsi="Garamond"/>
          <w:sz w:val="24"/>
          <w:szCs w:val="24"/>
        </w:rPr>
        <w:t>(</w:t>
      </w:r>
      <w:r w:rsidR="00CE058D">
        <w:rPr>
          <w:rFonts w:ascii="Garamond" w:hAnsi="Garamond"/>
          <w:sz w:val="24"/>
          <w:szCs w:val="24"/>
        </w:rPr>
        <w:t>7,</w:t>
      </w:r>
      <w:r w:rsidR="00AA39AB">
        <w:rPr>
          <w:rFonts w:ascii="Garamond" w:hAnsi="Garamond"/>
          <w:sz w:val="24"/>
          <w:szCs w:val="24"/>
        </w:rPr>
        <w:t>4</w:t>
      </w:r>
      <w:r w:rsidR="005A402B" w:rsidRPr="00BE32AE">
        <w:rPr>
          <w:rFonts w:ascii="Garamond" w:hAnsi="Garamond"/>
          <w:sz w:val="24"/>
          <w:szCs w:val="24"/>
        </w:rPr>
        <w:t xml:space="preserve">%) y </w:t>
      </w:r>
      <w:r w:rsidR="00CE058D">
        <w:rPr>
          <w:rFonts w:ascii="Garamond" w:hAnsi="Garamond"/>
          <w:sz w:val="24"/>
          <w:szCs w:val="24"/>
        </w:rPr>
        <w:t>8,</w:t>
      </w:r>
      <w:r w:rsidR="00AA39AB">
        <w:rPr>
          <w:rFonts w:ascii="Garamond" w:hAnsi="Garamond"/>
          <w:sz w:val="24"/>
          <w:szCs w:val="24"/>
        </w:rPr>
        <w:t>3</w:t>
      </w:r>
      <w:r w:rsidR="005A402B" w:rsidRPr="00BE32AE">
        <w:rPr>
          <w:rFonts w:ascii="Garamond" w:hAnsi="Garamond"/>
          <w:sz w:val="24"/>
          <w:szCs w:val="24"/>
        </w:rPr>
        <w:t>% (</w:t>
      </w:r>
      <w:r w:rsidR="00CE058D">
        <w:rPr>
          <w:rFonts w:ascii="Garamond" w:hAnsi="Garamond"/>
          <w:sz w:val="24"/>
          <w:szCs w:val="24"/>
        </w:rPr>
        <w:t>7,</w:t>
      </w:r>
      <w:r w:rsidR="00AA39AB">
        <w:rPr>
          <w:rFonts w:ascii="Garamond" w:hAnsi="Garamond"/>
          <w:sz w:val="24"/>
          <w:szCs w:val="24"/>
        </w:rPr>
        <w:t>5</w:t>
      </w:r>
      <w:r w:rsidR="005A402B" w:rsidRPr="00BE32AE">
        <w:rPr>
          <w:rFonts w:ascii="Garamond" w:hAnsi="Garamond"/>
          <w:sz w:val="24"/>
          <w:szCs w:val="24"/>
        </w:rPr>
        <w:t xml:space="preserve">%), </w:t>
      </w:r>
      <w:r w:rsidRPr="00BE32AE">
        <w:rPr>
          <w:rFonts w:ascii="Garamond" w:hAnsi="Garamond"/>
          <w:sz w:val="24"/>
          <w:szCs w:val="24"/>
        </w:rPr>
        <w:t>respectivamente</w:t>
      </w:r>
      <w:r w:rsidR="005A402B" w:rsidRPr="00BE32AE">
        <w:rPr>
          <w:rFonts w:ascii="Garamond" w:hAnsi="Garamond"/>
          <w:sz w:val="24"/>
          <w:szCs w:val="24"/>
        </w:rPr>
        <w:t>.</w:t>
      </w:r>
      <w:r w:rsidRPr="00BE32AE">
        <w:rPr>
          <w:rFonts w:ascii="Garamond" w:hAnsi="Garamond"/>
          <w:sz w:val="24"/>
          <w:szCs w:val="24"/>
        </w:rPr>
        <w:t xml:space="preserve">Una tercera categoría la componen </w:t>
      </w:r>
      <w:r w:rsidR="00AB44A1" w:rsidRPr="00BE32AE">
        <w:rPr>
          <w:rFonts w:ascii="Garamond" w:hAnsi="Garamond"/>
          <w:sz w:val="24"/>
          <w:szCs w:val="24"/>
        </w:rPr>
        <w:t>7</w:t>
      </w:r>
      <w:r w:rsidRPr="00BE32AE">
        <w:rPr>
          <w:rFonts w:ascii="Garamond" w:hAnsi="Garamond"/>
          <w:sz w:val="24"/>
          <w:szCs w:val="24"/>
        </w:rPr>
        <w:t xml:space="preserve"> regiones</w:t>
      </w:r>
      <w:r w:rsidR="00296AE5" w:rsidRPr="00BE32AE">
        <w:rPr>
          <w:rFonts w:ascii="Garamond" w:hAnsi="Garamond"/>
          <w:sz w:val="24"/>
          <w:szCs w:val="24"/>
        </w:rPr>
        <w:t xml:space="preserve">, que son </w:t>
      </w:r>
      <w:r w:rsidR="005A402B" w:rsidRPr="00BE32AE">
        <w:rPr>
          <w:rFonts w:ascii="Garamond" w:hAnsi="Garamond"/>
          <w:sz w:val="24"/>
          <w:szCs w:val="24"/>
        </w:rPr>
        <w:t xml:space="preserve">O’Higgins, </w:t>
      </w:r>
      <w:r w:rsidR="009B63AD" w:rsidRPr="00BE32AE">
        <w:rPr>
          <w:rFonts w:ascii="Garamond" w:hAnsi="Garamond"/>
          <w:sz w:val="24"/>
          <w:szCs w:val="24"/>
        </w:rPr>
        <w:t xml:space="preserve">Maule, Coquimbo, </w:t>
      </w:r>
      <w:r w:rsidRPr="00BE32AE">
        <w:rPr>
          <w:rFonts w:ascii="Garamond" w:hAnsi="Garamond"/>
          <w:sz w:val="24"/>
          <w:szCs w:val="24"/>
        </w:rPr>
        <w:t>Tarapacá</w:t>
      </w:r>
      <w:r w:rsidR="00162DBA" w:rsidRPr="00BE32AE">
        <w:rPr>
          <w:rFonts w:ascii="Garamond" w:hAnsi="Garamond"/>
          <w:sz w:val="24"/>
          <w:szCs w:val="24"/>
        </w:rPr>
        <w:t xml:space="preserve">, </w:t>
      </w:r>
      <w:r w:rsidR="00AB44A1" w:rsidRPr="00BE32AE">
        <w:rPr>
          <w:rFonts w:ascii="Garamond" w:hAnsi="Garamond"/>
          <w:sz w:val="24"/>
          <w:szCs w:val="24"/>
        </w:rPr>
        <w:t>Atacama</w:t>
      </w:r>
      <w:r w:rsidR="009B63AD" w:rsidRPr="00BE32AE">
        <w:rPr>
          <w:rFonts w:ascii="Garamond" w:hAnsi="Garamond"/>
          <w:sz w:val="24"/>
          <w:szCs w:val="24"/>
        </w:rPr>
        <w:t>, Los Lagos</w:t>
      </w:r>
      <w:r w:rsidR="00AB44A1" w:rsidRPr="00BE32AE">
        <w:rPr>
          <w:rFonts w:ascii="Garamond" w:hAnsi="Garamond"/>
          <w:sz w:val="24"/>
          <w:szCs w:val="24"/>
        </w:rPr>
        <w:t xml:space="preserve"> y La Araucanía, </w:t>
      </w:r>
      <w:r w:rsidRPr="00BE32AE">
        <w:rPr>
          <w:rFonts w:ascii="Garamond" w:hAnsi="Garamond"/>
          <w:sz w:val="24"/>
          <w:szCs w:val="24"/>
        </w:rPr>
        <w:t xml:space="preserve">con la producción del </w:t>
      </w:r>
      <w:r w:rsidR="00B13B30">
        <w:rPr>
          <w:rFonts w:ascii="Garamond" w:hAnsi="Garamond"/>
          <w:sz w:val="24"/>
          <w:szCs w:val="24"/>
        </w:rPr>
        <w:t>21,</w:t>
      </w:r>
      <w:r w:rsidR="00AA39AB">
        <w:rPr>
          <w:rFonts w:ascii="Garamond" w:hAnsi="Garamond"/>
          <w:sz w:val="24"/>
          <w:szCs w:val="24"/>
        </w:rPr>
        <w:t>9</w:t>
      </w:r>
      <w:r w:rsidR="00B13B30">
        <w:rPr>
          <w:rFonts w:ascii="Garamond" w:hAnsi="Garamond"/>
          <w:sz w:val="24"/>
          <w:szCs w:val="24"/>
        </w:rPr>
        <w:t xml:space="preserve">% a nivel de regiones, </w:t>
      </w:r>
      <w:r w:rsidR="00B13B30" w:rsidRPr="00BE32AE">
        <w:rPr>
          <w:rFonts w:ascii="Garamond" w:hAnsi="Garamond"/>
          <w:sz w:val="24"/>
          <w:szCs w:val="24"/>
        </w:rPr>
        <w:t>que fluctúa entre 4,</w:t>
      </w:r>
      <w:r w:rsidR="00AA39AB">
        <w:rPr>
          <w:rFonts w:ascii="Garamond" w:hAnsi="Garamond"/>
          <w:sz w:val="24"/>
          <w:szCs w:val="24"/>
        </w:rPr>
        <w:t>6</w:t>
      </w:r>
      <w:r w:rsidR="00B13B30" w:rsidRPr="00BE32AE">
        <w:rPr>
          <w:rFonts w:ascii="Garamond" w:hAnsi="Garamond"/>
          <w:sz w:val="24"/>
          <w:szCs w:val="24"/>
        </w:rPr>
        <w:t>% y 2,</w:t>
      </w:r>
      <w:r w:rsidR="00AA39AB">
        <w:rPr>
          <w:rFonts w:ascii="Garamond" w:hAnsi="Garamond"/>
          <w:sz w:val="24"/>
          <w:szCs w:val="24"/>
        </w:rPr>
        <w:t>3</w:t>
      </w:r>
      <w:r w:rsidR="00B13B30" w:rsidRPr="00BE32AE">
        <w:rPr>
          <w:rFonts w:ascii="Garamond" w:hAnsi="Garamond"/>
          <w:sz w:val="24"/>
          <w:szCs w:val="24"/>
        </w:rPr>
        <w:t xml:space="preserve">% </w:t>
      </w:r>
      <w:r w:rsidR="00B13B30">
        <w:rPr>
          <w:rFonts w:ascii="Garamond" w:hAnsi="Garamond"/>
          <w:sz w:val="24"/>
          <w:szCs w:val="24"/>
        </w:rPr>
        <w:t>(</w:t>
      </w:r>
      <w:r w:rsidR="009B63AD" w:rsidRPr="00BE32AE">
        <w:rPr>
          <w:rFonts w:ascii="Garamond" w:hAnsi="Garamond"/>
          <w:sz w:val="24"/>
          <w:szCs w:val="24"/>
        </w:rPr>
        <w:t>19,</w:t>
      </w:r>
      <w:r w:rsidR="00AA39AB">
        <w:rPr>
          <w:rFonts w:ascii="Garamond" w:hAnsi="Garamond"/>
          <w:sz w:val="24"/>
          <w:szCs w:val="24"/>
        </w:rPr>
        <w:t>9</w:t>
      </w:r>
      <w:r w:rsidRPr="00BE32AE">
        <w:rPr>
          <w:rFonts w:ascii="Garamond" w:hAnsi="Garamond"/>
          <w:sz w:val="24"/>
          <w:szCs w:val="24"/>
        </w:rPr>
        <w:t>% del PIB</w:t>
      </w:r>
      <w:r w:rsidR="00B13B30">
        <w:rPr>
          <w:rFonts w:ascii="Garamond" w:hAnsi="Garamond"/>
          <w:sz w:val="24"/>
          <w:szCs w:val="24"/>
        </w:rPr>
        <w:t>);</w:t>
      </w:r>
      <w:r w:rsidRPr="00BE32AE">
        <w:rPr>
          <w:rFonts w:ascii="Garamond" w:hAnsi="Garamond"/>
          <w:sz w:val="24"/>
          <w:szCs w:val="24"/>
        </w:rPr>
        <w:t xml:space="preserve"> y finalmente </w:t>
      </w:r>
      <w:r w:rsidR="009B63AD" w:rsidRPr="00BE32AE">
        <w:rPr>
          <w:rFonts w:ascii="Garamond" w:hAnsi="Garamond"/>
          <w:sz w:val="24"/>
          <w:szCs w:val="24"/>
        </w:rPr>
        <w:t>4</w:t>
      </w:r>
      <w:r w:rsidRPr="00BE32AE">
        <w:rPr>
          <w:rFonts w:ascii="Garamond" w:hAnsi="Garamond"/>
          <w:sz w:val="24"/>
          <w:szCs w:val="24"/>
        </w:rPr>
        <w:t xml:space="preserve"> regiones </w:t>
      </w:r>
      <w:r w:rsidR="009B63AD" w:rsidRPr="00BE32AE">
        <w:rPr>
          <w:rFonts w:ascii="Garamond" w:hAnsi="Garamond"/>
          <w:sz w:val="24"/>
          <w:szCs w:val="24"/>
        </w:rPr>
        <w:t xml:space="preserve">que </w:t>
      </w:r>
      <w:r w:rsidRPr="00BE32AE">
        <w:rPr>
          <w:rFonts w:ascii="Garamond" w:hAnsi="Garamond"/>
          <w:sz w:val="24"/>
          <w:szCs w:val="24"/>
        </w:rPr>
        <w:t xml:space="preserve">aportan el </w:t>
      </w:r>
      <w:r w:rsidR="00B13B30">
        <w:rPr>
          <w:rFonts w:ascii="Garamond" w:hAnsi="Garamond"/>
          <w:sz w:val="24"/>
          <w:szCs w:val="24"/>
        </w:rPr>
        <w:t>3,2</w:t>
      </w:r>
      <w:r w:rsidRPr="00BE32AE">
        <w:rPr>
          <w:rFonts w:ascii="Garamond" w:hAnsi="Garamond"/>
          <w:sz w:val="24"/>
          <w:szCs w:val="24"/>
        </w:rPr>
        <w:t>% del producto</w:t>
      </w:r>
      <w:r w:rsidR="00AB44A1" w:rsidRPr="00BE32AE">
        <w:rPr>
          <w:rFonts w:ascii="Garamond" w:hAnsi="Garamond"/>
          <w:sz w:val="24"/>
          <w:szCs w:val="24"/>
        </w:rPr>
        <w:t xml:space="preserve">, que son </w:t>
      </w:r>
      <w:r w:rsidR="009B63AD" w:rsidRPr="00BE32AE">
        <w:rPr>
          <w:rFonts w:ascii="Garamond" w:hAnsi="Garamond"/>
          <w:sz w:val="24"/>
          <w:szCs w:val="24"/>
        </w:rPr>
        <w:t xml:space="preserve">Los Ríos, </w:t>
      </w:r>
      <w:r w:rsidRPr="00BE32AE">
        <w:rPr>
          <w:rFonts w:ascii="Garamond" w:hAnsi="Garamond"/>
          <w:sz w:val="24"/>
          <w:szCs w:val="24"/>
        </w:rPr>
        <w:t>Magallanes</w:t>
      </w:r>
      <w:r w:rsidR="00B13B30">
        <w:rPr>
          <w:rFonts w:ascii="Garamond" w:hAnsi="Garamond"/>
          <w:sz w:val="24"/>
          <w:szCs w:val="24"/>
        </w:rPr>
        <w:t xml:space="preserve">, </w:t>
      </w:r>
      <w:r w:rsidR="009B63AD" w:rsidRPr="00BE32AE">
        <w:rPr>
          <w:rFonts w:ascii="Garamond" w:hAnsi="Garamond"/>
          <w:sz w:val="24"/>
          <w:szCs w:val="24"/>
        </w:rPr>
        <w:t xml:space="preserve">Arica y Parinacota, </w:t>
      </w:r>
      <w:r w:rsidRPr="00BE32AE">
        <w:rPr>
          <w:rFonts w:ascii="Garamond" w:hAnsi="Garamond"/>
          <w:sz w:val="24"/>
          <w:szCs w:val="24"/>
        </w:rPr>
        <w:t xml:space="preserve">y </w:t>
      </w:r>
      <w:r w:rsidR="009B63AD" w:rsidRPr="00BE32AE">
        <w:rPr>
          <w:rFonts w:ascii="Garamond" w:hAnsi="Garamond"/>
          <w:sz w:val="24"/>
          <w:szCs w:val="24"/>
        </w:rPr>
        <w:t>Aysén, con productos que se ubican en un rango de 1,</w:t>
      </w:r>
      <w:r w:rsidR="00B13B30">
        <w:rPr>
          <w:rFonts w:ascii="Garamond" w:hAnsi="Garamond"/>
          <w:sz w:val="24"/>
          <w:szCs w:val="24"/>
        </w:rPr>
        <w:t>2</w:t>
      </w:r>
      <w:r w:rsidR="00AB44A1" w:rsidRPr="00BE32AE">
        <w:rPr>
          <w:rFonts w:ascii="Garamond" w:hAnsi="Garamond"/>
          <w:sz w:val="24"/>
          <w:szCs w:val="24"/>
        </w:rPr>
        <w:t>% y 0,</w:t>
      </w:r>
      <w:r w:rsidR="00B13B30">
        <w:rPr>
          <w:rFonts w:ascii="Garamond" w:hAnsi="Garamond"/>
          <w:sz w:val="24"/>
          <w:szCs w:val="24"/>
        </w:rPr>
        <w:t>5</w:t>
      </w:r>
      <w:r w:rsidR="00AB44A1" w:rsidRPr="00BE32AE">
        <w:rPr>
          <w:rFonts w:ascii="Garamond" w:hAnsi="Garamond"/>
          <w:sz w:val="24"/>
          <w:szCs w:val="24"/>
        </w:rPr>
        <w:t>%</w:t>
      </w:r>
      <w:r w:rsidR="00B13B30">
        <w:rPr>
          <w:rFonts w:ascii="Garamond" w:hAnsi="Garamond"/>
          <w:sz w:val="24"/>
          <w:szCs w:val="24"/>
        </w:rPr>
        <w:t xml:space="preserve"> (2,9% del PIB)</w:t>
      </w:r>
      <w:r w:rsidRPr="00BE32AE">
        <w:rPr>
          <w:rFonts w:ascii="Garamond" w:hAnsi="Garamond"/>
          <w:sz w:val="24"/>
          <w:szCs w:val="24"/>
        </w:rPr>
        <w:t>.</w:t>
      </w:r>
    </w:p>
    <w:tbl>
      <w:tblPr>
        <w:tblW w:w="7371" w:type="dxa"/>
        <w:tblInd w:w="779" w:type="dxa"/>
        <w:tblCellMar>
          <w:left w:w="70" w:type="dxa"/>
          <w:right w:w="70" w:type="dxa"/>
        </w:tblCellMar>
        <w:tblLook w:val="04A0" w:firstRow="1" w:lastRow="0" w:firstColumn="1" w:lastColumn="0" w:noHBand="0" w:noVBand="1"/>
      </w:tblPr>
      <w:tblGrid>
        <w:gridCol w:w="2835"/>
        <w:gridCol w:w="1134"/>
        <w:gridCol w:w="1134"/>
        <w:gridCol w:w="1134"/>
        <w:gridCol w:w="1134"/>
      </w:tblGrid>
      <w:tr w:rsidR="00724F91" w:rsidRPr="00724F91" w:rsidTr="006B04F1">
        <w:trPr>
          <w:trHeight w:val="340"/>
        </w:trPr>
        <w:tc>
          <w:tcPr>
            <w:tcW w:w="7371"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24F91" w:rsidRPr="006B04F1" w:rsidRDefault="00724F91" w:rsidP="00517B81">
            <w:pPr>
              <w:spacing w:after="0" w:line="240" w:lineRule="auto"/>
              <w:jc w:val="center"/>
              <w:rPr>
                <w:rFonts w:ascii="Arial" w:eastAsia="Times New Roman" w:hAnsi="Arial" w:cs="Arial"/>
                <w:b/>
                <w:bCs/>
                <w:sz w:val="16"/>
                <w:szCs w:val="16"/>
                <w:lang w:eastAsia="es-CL"/>
              </w:rPr>
            </w:pPr>
            <w:r w:rsidRPr="006B04F1">
              <w:rPr>
                <w:rFonts w:ascii="Arial" w:eastAsia="Times New Roman" w:hAnsi="Arial" w:cs="Arial"/>
                <w:b/>
                <w:bCs/>
                <w:sz w:val="16"/>
                <w:szCs w:val="16"/>
                <w:lang w:eastAsia="es-CL"/>
              </w:rPr>
              <w:t>Participación en el PIB Total y PIB Regionalizado 2011 y 2012</w:t>
            </w:r>
          </w:p>
        </w:tc>
      </w:tr>
      <w:tr w:rsidR="00517B81" w:rsidRPr="00724F91" w:rsidTr="006B04F1">
        <w:trPr>
          <w:trHeight w:val="227"/>
        </w:trPr>
        <w:tc>
          <w:tcPr>
            <w:tcW w:w="2835" w:type="dxa"/>
            <w:tcBorders>
              <w:top w:val="nil"/>
              <w:left w:val="single" w:sz="8" w:space="0" w:color="auto"/>
              <w:bottom w:val="nil"/>
              <w:right w:val="single" w:sz="4" w:space="0" w:color="auto"/>
            </w:tcBorders>
            <w:shd w:val="clear" w:color="000000" w:fill="FFFFFF"/>
            <w:noWrap/>
            <w:vAlign w:val="bottom"/>
            <w:hideMark/>
          </w:tcPr>
          <w:p w:rsidR="00517B81" w:rsidRPr="00724F91" w:rsidRDefault="00517B81" w:rsidP="00724F91">
            <w:pPr>
              <w:spacing w:after="0" w:line="240" w:lineRule="auto"/>
              <w:rPr>
                <w:rFonts w:ascii="Arial" w:eastAsia="Times New Roman" w:hAnsi="Arial" w:cs="Arial"/>
                <w:sz w:val="20"/>
                <w:szCs w:val="20"/>
                <w:lang w:eastAsia="es-CL"/>
              </w:rPr>
            </w:pPr>
            <w:r w:rsidRPr="00724F91">
              <w:rPr>
                <w:rFonts w:ascii="Arial" w:eastAsia="Times New Roman" w:hAnsi="Arial" w:cs="Arial"/>
                <w:sz w:val="20"/>
                <w:szCs w:val="20"/>
                <w:lang w:eastAsia="es-CL"/>
              </w:rPr>
              <w:t> </w:t>
            </w:r>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517B81" w:rsidRPr="006B04F1" w:rsidRDefault="00517B81" w:rsidP="00517B81">
            <w:pPr>
              <w:spacing w:after="0" w:line="240" w:lineRule="auto"/>
              <w:jc w:val="center"/>
              <w:rPr>
                <w:rFonts w:ascii="Arial" w:eastAsia="Times New Roman" w:hAnsi="Arial" w:cs="Arial"/>
                <w:b/>
                <w:sz w:val="16"/>
                <w:szCs w:val="16"/>
                <w:lang w:eastAsia="es-CL"/>
              </w:rPr>
            </w:pPr>
            <w:r w:rsidRPr="006B04F1">
              <w:rPr>
                <w:rFonts w:ascii="Arial" w:eastAsia="Times New Roman" w:hAnsi="Arial" w:cs="Arial"/>
                <w:b/>
                <w:sz w:val="16"/>
                <w:szCs w:val="16"/>
                <w:lang w:eastAsia="es-CL"/>
              </w:rPr>
              <w:t>2011</w:t>
            </w:r>
          </w:p>
        </w:tc>
        <w:tc>
          <w:tcPr>
            <w:tcW w:w="2268" w:type="dxa"/>
            <w:gridSpan w:val="2"/>
            <w:tcBorders>
              <w:top w:val="nil"/>
              <w:left w:val="nil"/>
              <w:bottom w:val="single" w:sz="4" w:space="0" w:color="auto"/>
              <w:right w:val="single" w:sz="8" w:space="0" w:color="auto"/>
            </w:tcBorders>
            <w:shd w:val="clear" w:color="000000" w:fill="FFFFFF"/>
            <w:noWrap/>
            <w:vAlign w:val="bottom"/>
            <w:hideMark/>
          </w:tcPr>
          <w:p w:rsidR="00517B81" w:rsidRPr="006B04F1" w:rsidRDefault="00517B81" w:rsidP="00517B81">
            <w:pPr>
              <w:spacing w:after="0" w:line="240" w:lineRule="auto"/>
              <w:jc w:val="center"/>
              <w:rPr>
                <w:rFonts w:ascii="Arial" w:eastAsia="Times New Roman" w:hAnsi="Arial" w:cs="Arial"/>
                <w:b/>
                <w:sz w:val="16"/>
                <w:szCs w:val="16"/>
                <w:lang w:eastAsia="es-CL"/>
              </w:rPr>
            </w:pPr>
            <w:r w:rsidRPr="006B04F1">
              <w:rPr>
                <w:rFonts w:ascii="Arial" w:eastAsia="Times New Roman" w:hAnsi="Arial" w:cs="Arial"/>
                <w:b/>
                <w:sz w:val="16"/>
                <w:szCs w:val="16"/>
                <w:lang w:eastAsia="es-CL"/>
              </w:rPr>
              <w:t>2012</w:t>
            </w:r>
          </w:p>
        </w:tc>
      </w:tr>
      <w:tr w:rsidR="00724F91" w:rsidRPr="00724F91" w:rsidTr="006B04F1">
        <w:trPr>
          <w:trHeight w:val="227"/>
        </w:trPr>
        <w:tc>
          <w:tcPr>
            <w:tcW w:w="2835" w:type="dxa"/>
            <w:tcBorders>
              <w:top w:val="nil"/>
              <w:left w:val="single" w:sz="8" w:space="0" w:color="auto"/>
              <w:bottom w:val="single" w:sz="4" w:space="0" w:color="auto"/>
              <w:right w:val="single" w:sz="4" w:space="0" w:color="auto"/>
            </w:tcBorders>
            <w:shd w:val="clear" w:color="000000" w:fill="FFFFFF"/>
            <w:vAlign w:val="bottom"/>
            <w:hideMark/>
          </w:tcPr>
          <w:p w:rsidR="00724F91" w:rsidRPr="00724F91" w:rsidRDefault="00724F91" w:rsidP="00724F91">
            <w:pPr>
              <w:spacing w:after="0" w:line="240" w:lineRule="auto"/>
              <w:rPr>
                <w:rFonts w:ascii="Arial" w:eastAsia="Arial Unicode MS" w:hAnsi="Arial" w:cs="Arial"/>
                <w:sz w:val="20"/>
                <w:szCs w:val="20"/>
                <w:lang w:eastAsia="es-CL"/>
              </w:rPr>
            </w:pPr>
          </w:p>
        </w:tc>
        <w:tc>
          <w:tcPr>
            <w:tcW w:w="1134" w:type="dxa"/>
            <w:tcBorders>
              <w:top w:val="nil"/>
              <w:left w:val="nil"/>
              <w:bottom w:val="single" w:sz="4" w:space="0" w:color="auto"/>
              <w:right w:val="single" w:sz="4" w:space="0" w:color="auto"/>
            </w:tcBorders>
            <w:shd w:val="clear" w:color="000000" w:fill="FFFFFF"/>
            <w:noWrap/>
            <w:vAlign w:val="bottom"/>
            <w:hideMark/>
          </w:tcPr>
          <w:p w:rsidR="00724F91" w:rsidRPr="006B04F1" w:rsidRDefault="00724F91" w:rsidP="00517B81">
            <w:pPr>
              <w:spacing w:after="0" w:line="240" w:lineRule="auto"/>
              <w:jc w:val="center"/>
              <w:rPr>
                <w:rFonts w:ascii="Arial" w:eastAsia="Times New Roman" w:hAnsi="Arial" w:cs="Arial"/>
                <w:b/>
                <w:sz w:val="16"/>
                <w:szCs w:val="16"/>
                <w:lang w:eastAsia="es-CL"/>
              </w:rPr>
            </w:pPr>
            <w:r w:rsidRPr="006B04F1">
              <w:rPr>
                <w:rFonts w:ascii="Arial" w:eastAsia="Times New Roman" w:hAnsi="Arial" w:cs="Arial"/>
                <w:b/>
                <w:sz w:val="16"/>
                <w:szCs w:val="16"/>
                <w:lang w:eastAsia="es-CL"/>
              </w:rPr>
              <w:t>PIB Total</w:t>
            </w:r>
          </w:p>
        </w:tc>
        <w:tc>
          <w:tcPr>
            <w:tcW w:w="1134" w:type="dxa"/>
            <w:tcBorders>
              <w:top w:val="nil"/>
              <w:left w:val="nil"/>
              <w:bottom w:val="single" w:sz="4" w:space="0" w:color="auto"/>
              <w:right w:val="single" w:sz="4" w:space="0" w:color="auto"/>
            </w:tcBorders>
            <w:shd w:val="clear" w:color="000000" w:fill="FFFFFF"/>
            <w:noWrap/>
            <w:vAlign w:val="bottom"/>
            <w:hideMark/>
          </w:tcPr>
          <w:p w:rsidR="00724F91" w:rsidRPr="006B04F1" w:rsidRDefault="00724F91" w:rsidP="00517B81">
            <w:pPr>
              <w:spacing w:after="0" w:line="240" w:lineRule="auto"/>
              <w:jc w:val="center"/>
              <w:rPr>
                <w:rFonts w:ascii="Arial" w:eastAsia="Times New Roman" w:hAnsi="Arial" w:cs="Arial"/>
                <w:b/>
                <w:sz w:val="16"/>
                <w:szCs w:val="16"/>
                <w:lang w:eastAsia="es-CL"/>
              </w:rPr>
            </w:pPr>
            <w:r w:rsidRPr="006B04F1">
              <w:rPr>
                <w:rFonts w:ascii="Arial" w:eastAsia="Times New Roman" w:hAnsi="Arial" w:cs="Arial"/>
                <w:b/>
                <w:sz w:val="16"/>
                <w:szCs w:val="16"/>
                <w:lang w:eastAsia="es-CL"/>
              </w:rPr>
              <w:t>Reg</w:t>
            </w:r>
          </w:p>
        </w:tc>
        <w:tc>
          <w:tcPr>
            <w:tcW w:w="1134" w:type="dxa"/>
            <w:tcBorders>
              <w:top w:val="nil"/>
              <w:left w:val="nil"/>
              <w:bottom w:val="single" w:sz="4" w:space="0" w:color="auto"/>
              <w:right w:val="single" w:sz="4" w:space="0" w:color="auto"/>
            </w:tcBorders>
            <w:shd w:val="clear" w:color="000000" w:fill="FFFFFF"/>
            <w:noWrap/>
            <w:vAlign w:val="bottom"/>
            <w:hideMark/>
          </w:tcPr>
          <w:p w:rsidR="00724F91" w:rsidRPr="006B04F1" w:rsidRDefault="00724F91" w:rsidP="00517B81">
            <w:pPr>
              <w:spacing w:after="0" w:line="240" w:lineRule="auto"/>
              <w:jc w:val="center"/>
              <w:rPr>
                <w:rFonts w:ascii="Arial" w:eastAsia="Times New Roman" w:hAnsi="Arial" w:cs="Arial"/>
                <w:b/>
                <w:sz w:val="16"/>
                <w:szCs w:val="16"/>
                <w:lang w:eastAsia="es-CL"/>
              </w:rPr>
            </w:pPr>
            <w:r w:rsidRPr="006B04F1">
              <w:rPr>
                <w:rFonts w:ascii="Arial" w:eastAsia="Times New Roman" w:hAnsi="Arial" w:cs="Arial"/>
                <w:b/>
                <w:sz w:val="16"/>
                <w:szCs w:val="16"/>
                <w:lang w:eastAsia="es-CL"/>
              </w:rPr>
              <w:t>Total</w:t>
            </w:r>
          </w:p>
        </w:tc>
        <w:tc>
          <w:tcPr>
            <w:tcW w:w="1134" w:type="dxa"/>
            <w:tcBorders>
              <w:top w:val="nil"/>
              <w:left w:val="nil"/>
              <w:bottom w:val="single" w:sz="4" w:space="0" w:color="auto"/>
              <w:right w:val="single" w:sz="8" w:space="0" w:color="auto"/>
            </w:tcBorders>
            <w:shd w:val="clear" w:color="000000" w:fill="FFFFFF"/>
            <w:noWrap/>
            <w:vAlign w:val="bottom"/>
            <w:hideMark/>
          </w:tcPr>
          <w:p w:rsidR="00724F91" w:rsidRPr="006B04F1" w:rsidRDefault="00724F91" w:rsidP="00517B81">
            <w:pPr>
              <w:spacing w:after="0" w:line="240" w:lineRule="auto"/>
              <w:jc w:val="center"/>
              <w:rPr>
                <w:rFonts w:ascii="Arial" w:eastAsia="Times New Roman" w:hAnsi="Arial" w:cs="Arial"/>
                <w:b/>
                <w:sz w:val="16"/>
                <w:szCs w:val="16"/>
                <w:lang w:eastAsia="es-CL"/>
              </w:rPr>
            </w:pPr>
            <w:r w:rsidRPr="006B04F1">
              <w:rPr>
                <w:rFonts w:ascii="Arial" w:eastAsia="Times New Roman" w:hAnsi="Arial" w:cs="Arial"/>
                <w:b/>
                <w:sz w:val="16"/>
                <w:szCs w:val="16"/>
                <w:lang w:eastAsia="es-CL"/>
              </w:rPr>
              <w:t>Reg</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Arica y Parinacota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0,60</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0,67</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0,57</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0,63</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Tarapacá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2,63</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2,90</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2,24</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2,47</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Antofagasta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9,28</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10,21</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9,53</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10,50</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Atacama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2,36</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2,59</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2,49</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2,75</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Coquimbo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2,97</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3,27</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2,91</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3,20</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Valparaíso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7,36</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8,10</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7,32</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8,07</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Santiago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43,91</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44,47</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48,97</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OHiggins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4,19</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4,62</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4,09</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4,50</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Maule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3,29</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3,62</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3,35</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3,69</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Biobío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7,50</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8,25</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7,22</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7,95</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La Araucanía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2,10</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2,31</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2,04</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2,24</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Los Ríos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1,12</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1,24</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1,11</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1,22</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Los Lagos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2,33</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2,57</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2,25</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2,47</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Aysén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0,43</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0,47</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0,43</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0,48</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Magallanes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0,77</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0,85</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0,78</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0,86</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Subtotal regionalizado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90,86</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90,81</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100,00</w:t>
            </w: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Extrarregional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0,08</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0,07</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p>
        </w:tc>
      </w:tr>
      <w:tr w:rsidR="00724F91" w:rsidRPr="00724F91" w:rsidTr="006B04F1">
        <w:trPr>
          <w:trHeight w:val="227"/>
        </w:trPr>
        <w:tc>
          <w:tcPr>
            <w:tcW w:w="2835" w:type="dxa"/>
            <w:tcBorders>
              <w:top w:val="nil"/>
              <w:left w:val="single" w:sz="8" w:space="0" w:color="auto"/>
              <w:bottom w:val="single" w:sz="4" w:space="0" w:color="000000"/>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IVA y derechos de importación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9,12</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9,19</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p>
        </w:tc>
      </w:tr>
      <w:tr w:rsidR="00724F91" w:rsidRPr="00724F91" w:rsidTr="006F554E">
        <w:trPr>
          <w:trHeight w:val="227"/>
        </w:trPr>
        <w:tc>
          <w:tcPr>
            <w:tcW w:w="2835" w:type="dxa"/>
            <w:tcBorders>
              <w:top w:val="nil"/>
              <w:left w:val="single" w:sz="8" w:space="0" w:color="auto"/>
              <w:bottom w:val="single" w:sz="4" w:space="0" w:color="auto"/>
              <w:right w:val="nil"/>
            </w:tcBorders>
            <w:shd w:val="clear" w:color="auto" w:fill="auto"/>
            <w:vAlign w:val="bottom"/>
            <w:hideMark/>
          </w:tcPr>
          <w:p w:rsidR="00724F91" w:rsidRPr="006B04F1" w:rsidRDefault="00724F91" w:rsidP="00724F91">
            <w:pPr>
              <w:spacing w:after="0" w:line="240" w:lineRule="auto"/>
              <w:rPr>
                <w:rFonts w:ascii="Arial" w:eastAsia="Arial Unicode MS" w:hAnsi="Arial" w:cs="Arial"/>
                <w:b/>
                <w:sz w:val="14"/>
                <w:szCs w:val="14"/>
                <w:lang w:eastAsia="es-CL"/>
              </w:rPr>
            </w:pPr>
            <w:r w:rsidRPr="006B04F1">
              <w:rPr>
                <w:rFonts w:ascii="Arial" w:eastAsia="Arial Unicode MS" w:hAnsi="Arial" w:cs="Arial"/>
                <w:b/>
                <w:sz w:val="14"/>
                <w:szCs w:val="14"/>
                <w:lang w:eastAsia="es-CL"/>
              </w:rPr>
              <w:t>Producto Interno Bruto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p>
        </w:tc>
        <w:tc>
          <w:tcPr>
            <w:tcW w:w="1134" w:type="dxa"/>
            <w:tcBorders>
              <w:top w:val="nil"/>
              <w:left w:val="nil"/>
              <w:bottom w:val="single" w:sz="4" w:space="0" w:color="auto"/>
              <w:right w:val="single" w:sz="4"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r w:rsidRPr="006B04F1">
              <w:rPr>
                <w:rFonts w:ascii="Arial" w:eastAsia="Times New Roman" w:hAnsi="Arial" w:cs="Arial"/>
                <w:sz w:val="14"/>
                <w:szCs w:val="14"/>
                <w:lang w:eastAsia="es-CL"/>
              </w:rPr>
              <w:t>100,00</w:t>
            </w:r>
          </w:p>
        </w:tc>
        <w:tc>
          <w:tcPr>
            <w:tcW w:w="1134" w:type="dxa"/>
            <w:tcBorders>
              <w:top w:val="nil"/>
              <w:left w:val="nil"/>
              <w:bottom w:val="single" w:sz="4" w:space="0" w:color="auto"/>
              <w:right w:val="single" w:sz="8" w:space="0" w:color="auto"/>
            </w:tcBorders>
            <w:shd w:val="clear" w:color="auto" w:fill="auto"/>
            <w:noWrap/>
            <w:vAlign w:val="bottom"/>
            <w:hideMark/>
          </w:tcPr>
          <w:p w:rsidR="00724F91" w:rsidRPr="006B04F1" w:rsidRDefault="00724F91" w:rsidP="00724F91">
            <w:pPr>
              <w:spacing w:after="0" w:line="240" w:lineRule="auto"/>
              <w:jc w:val="center"/>
              <w:rPr>
                <w:rFonts w:ascii="Arial" w:eastAsia="Times New Roman" w:hAnsi="Arial" w:cs="Arial"/>
                <w:sz w:val="14"/>
                <w:szCs w:val="14"/>
                <w:lang w:eastAsia="es-CL"/>
              </w:rPr>
            </w:pPr>
          </w:p>
        </w:tc>
      </w:tr>
      <w:tr w:rsidR="006F554E" w:rsidRPr="00724F91" w:rsidTr="006F554E">
        <w:trPr>
          <w:trHeight w:val="227"/>
        </w:trPr>
        <w:tc>
          <w:tcPr>
            <w:tcW w:w="2835" w:type="dxa"/>
            <w:tcBorders>
              <w:top w:val="single" w:sz="4" w:space="0" w:color="auto"/>
            </w:tcBorders>
            <w:shd w:val="clear" w:color="auto" w:fill="auto"/>
            <w:vAlign w:val="bottom"/>
          </w:tcPr>
          <w:p w:rsidR="006F554E" w:rsidRPr="006B04F1" w:rsidRDefault="006F554E" w:rsidP="00724F91">
            <w:pPr>
              <w:spacing w:after="0" w:line="240" w:lineRule="auto"/>
              <w:rPr>
                <w:rFonts w:ascii="Arial" w:eastAsia="Arial Unicode MS" w:hAnsi="Arial" w:cs="Arial"/>
                <w:b/>
                <w:sz w:val="14"/>
                <w:szCs w:val="14"/>
                <w:lang w:eastAsia="es-CL"/>
              </w:rPr>
            </w:pPr>
            <w:r>
              <w:rPr>
                <w:rFonts w:ascii="Arial" w:eastAsia="Arial Unicode MS" w:hAnsi="Arial" w:cs="Arial"/>
                <w:b/>
                <w:sz w:val="14"/>
                <w:szCs w:val="14"/>
                <w:lang w:eastAsia="es-CL"/>
              </w:rPr>
              <w:t>Fuente: Banco Central de Chile</w:t>
            </w:r>
          </w:p>
        </w:tc>
        <w:tc>
          <w:tcPr>
            <w:tcW w:w="1134" w:type="dxa"/>
            <w:tcBorders>
              <w:top w:val="single" w:sz="4" w:space="0" w:color="auto"/>
            </w:tcBorders>
            <w:shd w:val="clear" w:color="auto" w:fill="auto"/>
            <w:noWrap/>
            <w:vAlign w:val="bottom"/>
          </w:tcPr>
          <w:p w:rsidR="006F554E" w:rsidRPr="006B04F1" w:rsidRDefault="006F554E" w:rsidP="00724F91">
            <w:pPr>
              <w:spacing w:after="0" w:line="240" w:lineRule="auto"/>
              <w:jc w:val="center"/>
              <w:rPr>
                <w:rFonts w:ascii="Arial" w:eastAsia="Times New Roman" w:hAnsi="Arial" w:cs="Arial"/>
                <w:sz w:val="14"/>
                <w:szCs w:val="14"/>
                <w:lang w:eastAsia="es-CL"/>
              </w:rPr>
            </w:pPr>
          </w:p>
        </w:tc>
        <w:tc>
          <w:tcPr>
            <w:tcW w:w="1134" w:type="dxa"/>
            <w:tcBorders>
              <w:top w:val="single" w:sz="4" w:space="0" w:color="auto"/>
            </w:tcBorders>
            <w:shd w:val="clear" w:color="auto" w:fill="auto"/>
            <w:noWrap/>
            <w:vAlign w:val="bottom"/>
          </w:tcPr>
          <w:p w:rsidR="006F554E" w:rsidRPr="006B04F1" w:rsidRDefault="006F554E" w:rsidP="00724F91">
            <w:pPr>
              <w:spacing w:after="0" w:line="240" w:lineRule="auto"/>
              <w:jc w:val="center"/>
              <w:rPr>
                <w:rFonts w:ascii="Arial" w:eastAsia="Times New Roman" w:hAnsi="Arial" w:cs="Arial"/>
                <w:sz w:val="14"/>
                <w:szCs w:val="14"/>
                <w:lang w:eastAsia="es-CL"/>
              </w:rPr>
            </w:pPr>
          </w:p>
        </w:tc>
        <w:tc>
          <w:tcPr>
            <w:tcW w:w="1134" w:type="dxa"/>
            <w:tcBorders>
              <w:top w:val="single" w:sz="4" w:space="0" w:color="auto"/>
            </w:tcBorders>
            <w:shd w:val="clear" w:color="auto" w:fill="auto"/>
            <w:noWrap/>
            <w:vAlign w:val="bottom"/>
          </w:tcPr>
          <w:p w:rsidR="006F554E" w:rsidRPr="006B04F1" w:rsidRDefault="006F554E" w:rsidP="00724F91">
            <w:pPr>
              <w:spacing w:after="0" w:line="240" w:lineRule="auto"/>
              <w:jc w:val="center"/>
              <w:rPr>
                <w:rFonts w:ascii="Arial" w:eastAsia="Times New Roman" w:hAnsi="Arial" w:cs="Arial"/>
                <w:sz w:val="14"/>
                <w:szCs w:val="14"/>
                <w:lang w:eastAsia="es-CL"/>
              </w:rPr>
            </w:pPr>
          </w:p>
        </w:tc>
        <w:tc>
          <w:tcPr>
            <w:tcW w:w="1134" w:type="dxa"/>
            <w:tcBorders>
              <w:top w:val="single" w:sz="4" w:space="0" w:color="auto"/>
            </w:tcBorders>
            <w:shd w:val="clear" w:color="auto" w:fill="auto"/>
            <w:noWrap/>
            <w:vAlign w:val="bottom"/>
          </w:tcPr>
          <w:p w:rsidR="006F554E" w:rsidRPr="006B04F1" w:rsidRDefault="006F554E" w:rsidP="00724F91">
            <w:pPr>
              <w:spacing w:after="0" w:line="240" w:lineRule="auto"/>
              <w:jc w:val="center"/>
              <w:rPr>
                <w:rFonts w:ascii="Arial" w:eastAsia="Times New Roman" w:hAnsi="Arial" w:cs="Arial"/>
                <w:sz w:val="14"/>
                <w:szCs w:val="14"/>
                <w:lang w:eastAsia="es-CL"/>
              </w:rPr>
            </w:pPr>
          </w:p>
        </w:tc>
      </w:tr>
    </w:tbl>
    <w:p w:rsidR="00724F91" w:rsidRDefault="00724F91" w:rsidP="000C1827">
      <w:pPr>
        <w:tabs>
          <w:tab w:val="left" w:pos="180"/>
        </w:tabs>
        <w:spacing w:after="240" w:line="288" w:lineRule="auto"/>
        <w:jc w:val="both"/>
        <w:rPr>
          <w:rFonts w:ascii="Garamond" w:hAnsi="Garamond"/>
          <w:sz w:val="24"/>
          <w:szCs w:val="24"/>
        </w:rPr>
      </w:pPr>
    </w:p>
    <w:p w:rsidR="005C050A" w:rsidRPr="00BE32AE" w:rsidRDefault="005C050A" w:rsidP="000C1827">
      <w:pPr>
        <w:tabs>
          <w:tab w:val="left" w:pos="180"/>
        </w:tabs>
        <w:spacing w:after="240" w:line="288" w:lineRule="auto"/>
        <w:jc w:val="both"/>
        <w:rPr>
          <w:rFonts w:ascii="Garamond" w:hAnsi="Garamond"/>
          <w:sz w:val="24"/>
          <w:szCs w:val="24"/>
        </w:rPr>
      </w:pPr>
      <w:r w:rsidRPr="00BE32AE">
        <w:rPr>
          <w:rFonts w:ascii="Garamond" w:hAnsi="Garamond"/>
          <w:sz w:val="24"/>
          <w:szCs w:val="24"/>
        </w:rPr>
        <w:t xml:space="preserve">El crecimiento </w:t>
      </w:r>
      <w:r w:rsidR="008E030A" w:rsidRPr="00BE32AE">
        <w:rPr>
          <w:rFonts w:ascii="Garamond" w:hAnsi="Garamond"/>
          <w:sz w:val="24"/>
          <w:szCs w:val="24"/>
        </w:rPr>
        <w:t xml:space="preserve">de 4 veces </w:t>
      </w:r>
      <w:r w:rsidRPr="00BE32AE">
        <w:rPr>
          <w:rFonts w:ascii="Garamond" w:hAnsi="Garamond"/>
          <w:sz w:val="24"/>
          <w:szCs w:val="24"/>
        </w:rPr>
        <w:t xml:space="preserve">el </w:t>
      </w:r>
      <w:r w:rsidR="008E030A" w:rsidRPr="00BE32AE">
        <w:rPr>
          <w:rFonts w:ascii="Garamond" w:hAnsi="Garamond"/>
          <w:sz w:val="24"/>
          <w:szCs w:val="24"/>
        </w:rPr>
        <w:t xml:space="preserve">PIB </w:t>
      </w:r>
      <w:r w:rsidRPr="00BE32AE">
        <w:rPr>
          <w:rFonts w:ascii="Garamond" w:hAnsi="Garamond"/>
          <w:sz w:val="24"/>
          <w:szCs w:val="24"/>
        </w:rPr>
        <w:t xml:space="preserve">país </w:t>
      </w:r>
      <w:r w:rsidR="009F35B9" w:rsidRPr="00BE32AE">
        <w:rPr>
          <w:rFonts w:ascii="Garamond" w:hAnsi="Garamond"/>
          <w:sz w:val="24"/>
          <w:szCs w:val="24"/>
        </w:rPr>
        <w:t xml:space="preserve">entre 1985 – 2011 </w:t>
      </w:r>
      <w:r w:rsidRPr="00BE32AE">
        <w:rPr>
          <w:rFonts w:ascii="Garamond" w:hAnsi="Garamond"/>
          <w:sz w:val="24"/>
          <w:szCs w:val="24"/>
        </w:rPr>
        <w:t xml:space="preserve">ha </w:t>
      </w:r>
      <w:r w:rsidR="006404D4" w:rsidRPr="00BE32AE">
        <w:rPr>
          <w:rFonts w:ascii="Garamond" w:hAnsi="Garamond"/>
          <w:sz w:val="24"/>
          <w:szCs w:val="24"/>
        </w:rPr>
        <w:t xml:space="preserve">producido </w:t>
      </w:r>
      <w:r w:rsidR="009F35B9" w:rsidRPr="00BE32AE">
        <w:rPr>
          <w:rFonts w:ascii="Garamond" w:hAnsi="Garamond"/>
          <w:sz w:val="24"/>
          <w:szCs w:val="24"/>
        </w:rPr>
        <w:t xml:space="preserve">cambios positivos en todas las regiones, </w:t>
      </w:r>
      <w:r w:rsidR="00171E37" w:rsidRPr="00BE32AE">
        <w:rPr>
          <w:rFonts w:ascii="Garamond" w:hAnsi="Garamond"/>
          <w:sz w:val="24"/>
          <w:szCs w:val="24"/>
        </w:rPr>
        <w:t xml:space="preserve">pero </w:t>
      </w:r>
      <w:r w:rsidR="009F35B9" w:rsidRPr="00BE32AE">
        <w:rPr>
          <w:rFonts w:ascii="Garamond" w:hAnsi="Garamond"/>
          <w:sz w:val="24"/>
          <w:szCs w:val="24"/>
        </w:rPr>
        <w:t xml:space="preserve">en términos relativos, sólo 4 </w:t>
      </w:r>
      <w:r w:rsidRPr="00BE32AE">
        <w:rPr>
          <w:rFonts w:ascii="Garamond" w:hAnsi="Garamond"/>
          <w:sz w:val="24"/>
          <w:szCs w:val="24"/>
        </w:rPr>
        <w:t xml:space="preserve">regiones </w:t>
      </w:r>
      <w:r w:rsidR="009F35B9" w:rsidRPr="00BE32AE">
        <w:rPr>
          <w:rFonts w:ascii="Garamond" w:hAnsi="Garamond"/>
          <w:sz w:val="24"/>
          <w:szCs w:val="24"/>
        </w:rPr>
        <w:t>crecen en su participación</w:t>
      </w:r>
      <w:r w:rsidR="00171E37" w:rsidRPr="00BE32AE">
        <w:rPr>
          <w:rStyle w:val="Refdenotaalpie"/>
          <w:rFonts w:ascii="Garamond" w:hAnsi="Garamond"/>
          <w:sz w:val="24"/>
          <w:szCs w:val="24"/>
        </w:rPr>
        <w:footnoteReference w:id="8"/>
      </w:r>
      <w:r w:rsidR="009F35B9" w:rsidRPr="00BE32AE">
        <w:rPr>
          <w:rFonts w:ascii="Garamond" w:hAnsi="Garamond"/>
          <w:sz w:val="24"/>
          <w:szCs w:val="24"/>
        </w:rPr>
        <w:t xml:space="preserve">, </w:t>
      </w:r>
      <w:r w:rsidR="00BB3BBA" w:rsidRPr="00BE32AE">
        <w:rPr>
          <w:rFonts w:ascii="Garamond" w:hAnsi="Garamond"/>
          <w:sz w:val="24"/>
          <w:szCs w:val="24"/>
        </w:rPr>
        <w:t xml:space="preserve">y </w:t>
      </w:r>
      <w:r w:rsidR="009F35B9" w:rsidRPr="00BE32AE">
        <w:rPr>
          <w:rFonts w:ascii="Garamond" w:hAnsi="Garamond"/>
          <w:sz w:val="24"/>
          <w:szCs w:val="24"/>
        </w:rPr>
        <w:t xml:space="preserve">de las cuales </w:t>
      </w:r>
      <w:r w:rsidR="00B13B30">
        <w:rPr>
          <w:rFonts w:ascii="Garamond" w:hAnsi="Garamond"/>
          <w:sz w:val="24"/>
          <w:szCs w:val="24"/>
        </w:rPr>
        <w:t xml:space="preserve">3 </w:t>
      </w:r>
      <w:r w:rsidR="009F35B9" w:rsidRPr="00BE32AE">
        <w:rPr>
          <w:rFonts w:ascii="Garamond" w:hAnsi="Garamond"/>
          <w:sz w:val="24"/>
          <w:szCs w:val="24"/>
        </w:rPr>
        <w:t>son</w:t>
      </w:r>
      <w:r w:rsidR="007155CB" w:rsidRPr="00BE32AE">
        <w:rPr>
          <w:rFonts w:ascii="Garamond" w:hAnsi="Garamond"/>
          <w:sz w:val="24"/>
          <w:szCs w:val="24"/>
        </w:rPr>
        <w:t xml:space="preserve"> regiones mineras</w:t>
      </w:r>
      <w:r w:rsidR="009F35B9" w:rsidRPr="00BE32AE">
        <w:rPr>
          <w:rFonts w:ascii="Garamond" w:hAnsi="Garamond"/>
          <w:sz w:val="24"/>
          <w:szCs w:val="24"/>
        </w:rPr>
        <w:t>,</w:t>
      </w:r>
      <w:r w:rsidR="007155CB" w:rsidRPr="00BE32AE">
        <w:rPr>
          <w:rFonts w:ascii="Garamond" w:hAnsi="Garamond"/>
          <w:sz w:val="24"/>
          <w:szCs w:val="24"/>
        </w:rPr>
        <w:t xml:space="preserve"> y </w:t>
      </w:r>
      <w:r w:rsidR="00592650" w:rsidRPr="00BE32AE">
        <w:rPr>
          <w:rFonts w:ascii="Garamond" w:hAnsi="Garamond"/>
          <w:sz w:val="24"/>
          <w:szCs w:val="24"/>
        </w:rPr>
        <w:t xml:space="preserve">en cuarto lugar, Santiago con los beneficios de </w:t>
      </w:r>
      <w:r w:rsidR="00216403" w:rsidRPr="00BE32AE">
        <w:rPr>
          <w:rFonts w:ascii="Garamond" w:hAnsi="Garamond"/>
          <w:sz w:val="24"/>
          <w:szCs w:val="24"/>
        </w:rPr>
        <w:t xml:space="preserve">la </w:t>
      </w:r>
      <w:r w:rsidR="007155CB" w:rsidRPr="00BE32AE">
        <w:rPr>
          <w:rFonts w:ascii="Garamond" w:hAnsi="Garamond"/>
          <w:sz w:val="24"/>
          <w:szCs w:val="24"/>
        </w:rPr>
        <w:t>capital del país</w:t>
      </w:r>
      <w:r w:rsidR="00592650" w:rsidRPr="00BE32AE">
        <w:rPr>
          <w:rStyle w:val="Refdenotaalpie"/>
          <w:rFonts w:ascii="Garamond" w:hAnsi="Garamond"/>
          <w:sz w:val="24"/>
          <w:szCs w:val="24"/>
        </w:rPr>
        <w:footnoteReference w:id="9"/>
      </w:r>
      <w:r w:rsidR="007155CB" w:rsidRPr="00BE32AE">
        <w:rPr>
          <w:rFonts w:ascii="Garamond" w:hAnsi="Garamond"/>
          <w:sz w:val="24"/>
          <w:szCs w:val="24"/>
        </w:rPr>
        <w:t xml:space="preserve">. Este repunte lo </w:t>
      </w:r>
      <w:r w:rsidR="00F064E0" w:rsidRPr="00BE32AE">
        <w:rPr>
          <w:rFonts w:ascii="Garamond" w:hAnsi="Garamond"/>
          <w:sz w:val="24"/>
          <w:szCs w:val="24"/>
        </w:rPr>
        <w:t xml:space="preserve">lidera </w:t>
      </w:r>
      <w:r w:rsidR="007155CB" w:rsidRPr="00BE32AE">
        <w:rPr>
          <w:rFonts w:ascii="Garamond" w:hAnsi="Garamond"/>
          <w:sz w:val="24"/>
          <w:szCs w:val="24"/>
        </w:rPr>
        <w:t xml:space="preserve">la región de Atacama, con </w:t>
      </w:r>
      <w:r w:rsidR="009F35B9" w:rsidRPr="00BE32AE">
        <w:rPr>
          <w:rFonts w:ascii="Garamond" w:hAnsi="Garamond"/>
          <w:sz w:val="24"/>
          <w:szCs w:val="24"/>
        </w:rPr>
        <w:t xml:space="preserve">un aumento de </w:t>
      </w:r>
      <w:r w:rsidR="00592650" w:rsidRPr="00BE32AE">
        <w:rPr>
          <w:rFonts w:ascii="Garamond" w:hAnsi="Garamond"/>
          <w:sz w:val="24"/>
          <w:szCs w:val="24"/>
        </w:rPr>
        <w:t>50,1</w:t>
      </w:r>
      <w:r w:rsidR="007155CB" w:rsidRPr="00BE32AE">
        <w:rPr>
          <w:rFonts w:ascii="Garamond" w:hAnsi="Garamond"/>
          <w:sz w:val="24"/>
          <w:szCs w:val="24"/>
        </w:rPr>
        <w:t xml:space="preserve">% </w:t>
      </w:r>
      <w:r w:rsidR="00592650" w:rsidRPr="00BE32AE">
        <w:rPr>
          <w:rFonts w:ascii="Garamond" w:hAnsi="Garamond"/>
          <w:sz w:val="24"/>
          <w:szCs w:val="24"/>
        </w:rPr>
        <w:t xml:space="preserve">en su participación relativa </w:t>
      </w:r>
      <w:r w:rsidR="009F35B9" w:rsidRPr="00BE32AE">
        <w:rPr>
          <w:rFonts w:ascii="Garamond" w:hAnsi="Garamond"/>
          <w:sz w:val="24"/>
          <w:szCs w:val="24"/>
        </w:rPr>
        <w:t>en la generación del producto del país</w:t>
      </w:r>
      <w:r w:rsidR="00592650" w:rsidRPr="00BE32AE">
        <w:rPr>
          <w:rFonts w:ascii="Garamond" w:hAnsi="Garamond"/>
          <w:sz w:val="24"/>
          <w:szCs w:val="24"/>
        </w:rPr>
        <w:t xml:space="preserve"> (y una variación de </w:t>
      </w:r>
      <w:r w:rsidR="007269DB" w:rsidRPr="00BE32AE">
        <w:rPr>
          <w:rFonts w:ascii="Garamond" w:hAnsi="Garamond"/>
          <w:sz w:val="24"/>
          <w:szCs w:val="24"/>
        </w:rPr>
        <w:t>0,9 puntos porcentuales)</w:t>
      </w:r>
      <w:r w:rsidR="009F35B9" w:rsidRPr="00BE32AE">
        <w:rPr>
          <w:rFonts w:ascii="Garamond" w:hAnsi="Garamond"/>
          <w:sz w:val="24"/>
          <w:szCs w:val="24"/>
        </w:rPr>
        <w:t xml:space="preserve">. A continuación se ubica Antofagasta, con un </w:t>
      </w:r>
      <w:r w:rsidR="007155CB" w:rsidRPr="00BE32AE">
        <w:rPr>
          <w:rFonts w:ascii="Garamond" w:hAnsi="Garamond"/>
          <w:sz w:val="24"/>
          <w:szCs w:val="24"/>
        </w:rPr>
        <w:t xml:space="preserve">incremento </w:t>
      </w:r>
      <w:r w:rsidR="009F35B9" w:rsidRPr="00BE32AE">
        <w:rPr>
          <w:rFonts w:ascii="Garamond" w:hAnsi="Garamond"/>
          <w:sz w:val="24"/>
          <w:szCs w:val="24"/>
        </w:rPr>
        <w:t xml:space="preserve">de </w:t>
      </w:r>
      <w:r w:rsidR="007269DB" w:rsidRPr="00BE32AE">
        <w:rPr>
          <w:rFonts w:ascii="Garamond" w:hAnsi="Garamond"/>
          <w:sz w:val="24"/>
          <w:szCs w:val="24"/>
        </w:rPr>
        <w:t xml:space="preserve">40,4% (2,9 pp); </w:t>
      </w:r>
      <w:r w:rsidR="009F35B9" w:rsidRPr="00BE32AE">
        <w:rPr>
          <w:rFonts w:ascii="Garamond" w:hAnsi="Garamond"/>
          <w:sz w:val="24"/>
          <w:szCs w:val="24"/>
        </w:rPr>
        <w:t xml:space="preserve">Coquimbo, </w:t>
      </w:r>
      <w:r w:rsidR="007269DB" w:rsidRPr="00BE32AE">
        <w:rPr>
          <w:rFonts w:ascii="Garamond" w:hAnsi="Garamond"/>
          <w:sz w:val="24"/>
          <w:szCs w:val="24"/>
        </w:rPr>
        <w:t>25,8</w:t>
      </w:r>
      <w:r w:rsidR="009F35B9" w:rsidRPr="00BE32AE">
        <w:rPr>
          <w:rFonts w:ascii="Garamond" w:hAnsi="Garamond"/>
          <w:sz w:val="24"/>
          <w:szCs w:val="24"/>
        </w:rPr>
        <w:t>%</w:t>
      </w:r>
      <w:r w:rsidR="007269DB" w:rsidRPr="00BE32AE">
        <w:rPr>
          <w:rFonts w:ascii="Garamond" w:hAnsi="Garamond"/>
          <w:sz w:val="24"/>
          <w:szCs w:val="24"/>
        </w:rPr>
        <w:t xml:space="preserve"> (0,7 pp)</w:t>
      </w:r>
      <w:r w:rsidR="009F35B9" w:rsidRPr="00BE32AE">
        <w:rPr>
          <w:rFonts w:ascii="Garamond" w:hAnsi="Garamond"/>
          <w:sz w:val="24"/>
          <w:szCs w:val="24"/>
        </w:rPr>
        <w:t xml:space="preserve">; </w:t>
      </w:r>
      <w:r w:rsidR="007269DB" w:rsidRPr="00BE32AE">
        <w:rPr>
          <w:rFonts w:ascii="Garamond" w:hAnsi="Garamond"/>
          <w:sz w:val="24"/>
          <w:szCs w:val="24"/>
        </w:rPr>
        <w:t xml:space="preserve">y </w:t>
      </w:r>
      <w:r w:rsidR="009F35B9" w:rsidRPr="00BE32AE">
        <w:rPr>
          <w:rFonts w:ascii="Garamond" w:hAnsi="Garamond"/>
          <w:sz w:val="24"/>
          <w:szCs w:val="24"/>
        </w:rPr>
        <w:t>Santiago, 1</w:t>
      </w:r>
      <w:r w:rsidR="007269DB" w:rsidRPr="00BE32AE">
        <w:rPr>
          <w:rFonts w:ascii="Garamond" w:hAnsi="Garamond"/>
          <w:sz w:val="24"/>
          <w:szCs w:val="24"/>
        </w:rPr>
        <w:t>4,9</w:t>
      </w:r>
      <w:r w:rsidR="009F35B9" w:rsidRPr="00BE32AE">
        <w:rPr>
          <w:rFonts w:ascii="Garamond" w:hAnsi="Garamond"/>
          <w:sz w:val="24"/>
          <w:szCs w:val="24"/>
        </w:rPr>
        <w:t>% de variación</w:t>
      </w:r>
      <w:r w:rsidR="007269DB" w:rsidRPr="00BE32AE">
        <w:rPr>
          <w:rFonts w:ascii="Garamond" w:hAnsi="Garamond"/>
          <w:sz w:val="24"/>
          <w:szCs w:val="24"/>
        </w:rPr>
        <w:t xml:space="preserve"> (6,3 pp)</w:t>
      </w:r>
      <w:r w:rsidR="009F35B9" w:rsidRPr="00BE32AE">
        <w:rPr>
          <w:rFonts w:ascii="Garamond" w:hAnsi="Garamond"/>
          <w:sz w:val="24"/>
          <w:szCs w:val="24"/>
        </w:rPr>
        <w:t xml:space="preserve">. El resto de las regiones descienden </w:t>
      </w:r>
      <w:r w:rsidR="00F064E0" w:rsidRPr="00BE32AE">
        <w:rPr>
          <w:rFonts w:ascii="Garamond" w:hAnsi="Garamond"/>
          <w:sz w:val="24"/>
          <w:szCs w:val="24"/>
        </w:rPr>
        <w:t>en su posición al interior del PIB total, encabezados por Magallanes, que cae en 2,</w:t>
      </w:r>
      <w:r w:rsidR="007269DB" w:rsidRPr="00BE32AE">
        <w:rPr>
          <w:rFonts w:ascii="Garamond" w:hAnsi="Garamond"/>
          <w:sz w:val="24"/>
          <w:szCs w:val="24"/>
        </w:rPr>
        <w:t xml:space="preserve">6 </w:t>
      </w:r>
      <w:r w:rsidR="00F064E0" w:rsidRPr="00BE32AE">
        <w:rPr>
          <w:rFonts w:ascii="Garamond" w:hAnsi="Garamond"/>
          <w:sz w:val="24"/>
          <w:szCs w:val="24"/>
        </w:rPr>
        <w:t xml:space="preserve">puntos porcentuales en el período, </w:t>
      </w:r>
      <w:r w:rsidR="007269DB" w:rsidRPr="00BE32AE">
        <w:rPr>
          <w:rFonts w:ascii="Garamond" w:hAnsi="Garamond"/>
          <w:sz w:val="24"/>
          <w:szCs w:val="24"/>
        </w:rPr>
        <w:t xml:space="preserve">lo </w:t>
      </w:r>
      <w:r w:rsidR="00F064E0" w:rsidRPr="00BE32AE">
        <w:rPr>
          <w:rFonts w:ascii="Garamond" w:hAnsi="Garamond"/>
          <w:sz w:val="24"/>
          <w:szCs w:val="24"/>
        </w:rPr>
        <w:t>que significa una baja de 7</w:t>
      </w:r>
      <w:r w:rsidR="007269DB" w:rsidRPr="00BE32AE">
        <w:rPr>
          <w:rFonts w:ascii="Garamond" w:hAnsi="Garamond"/>
          <w:sz w:val="24"/>
          <w:szCs w:val="24"/>
        </w:rPr>
        <w:t>5,4</w:t>
      </w:r>
      <w:r w:rsidR="00F064E0" w:rsidRPr="00BE32AE">
        <w:rPr>
          <w:rFonts w:ascii="Garamond" w:hAnsi="Garamond"/>
          <w:sz w:val="24"/>
          <w:szCs w:val="24"/>
        </w:rPr>
        <w:t xml:space="preserve">% en su participación </w:t>
      </w:r>
      <w:r w:rsidR="007269DB" w:rsidRPr="00BE32AE">
        <w:rPr>
          <w:rFonts w:ascii="Garamond" w:hAnsi="Garamond"/>
          <w:sz w:val="24"/>
          <w:szCs w:val="24"/>
        </w:rPr>
        <w:t xml:space="preserve">relativa </w:t>
      </w:r>
      <w:r w:rsidR="00F064E0" w:rsidRPr="00BE32AE">
        <w:rPr>
          <w:rFonts w:ascii="Garamond" w:hAnsi="Garamond"/>
          <w:sz w:val="24"/>
          <w:szCs w:val="24"/>
        </w:rPr>
        <w:t xml:space="preserve">en el total de la riqueza del país; y Biobío, en </w:t>
      </w:r>
      <w:r w:rsidR="007269DB" w:rsidRPr="00BE32AE">
        <w:rPr>
          <w:rFonts w:ascii="Garamond" w:hAnsi="Garamond"/>
          <w:sz w:val="24"/>
          <w:szCs w:val="24"/>
        </w:rPr>
        <w:t>29,4%</w:t>
      </w:r>
      <w:r w:rsidR="00F064E0" w:rsidRPr="00BE32AE">
        <w:rPr>
          <w:rFonts w:ascii="Garamond" w:hAnsi="Garamond"/>
          <w:sz w:val="24"/>
          <w:szCs w:val="24"/>
        </w:rPr>
        <w:t xml:space="preserve"> (</w:t>
      </w:r>
      <w:r w:rsidR="007269DB" w:rsidRPr="00BE32AE">
        <w:rPr>
          <w:rFonts w:ascii="Garamond" w:hAnsi="Garamond"/>
          <w:sz w:val="24"/>
          <w:szCs w:val="24"/>
        </w:rPr>
        <w:t>3,4</w:t>
      </w:r>
      <w:r w:rsidR="00F064E0" w:rsidRPr="00BE32AE">
        <w:rPr>
          <w:rFonts w:ascii="Garamond" w:hAnsi="Garamond"/>
          <w:sz w:val="24"/>
          <w:szCs w:val="24"/>
        </w:rPr>
        <w:t xml:space="preserve">pp). </w:t>
      </w:r>
      <w:r w:rsidR="00216403" w:rsidRPr="00BE32AE">
        <w:rPr>
          <w:rFonts w:ascii="Garamond" w:hAnsi="Garamond"/>
          <w:sz w:val="24"/>
          <w:szCs w:val="24"/>
        </w:rPr>
        <w:t>En este grupo t</w:t>
      </w:r>
      <w:r w:rsidR="00F064E0" w:rsidRPr="00BE32AE">
        <w:rPr>
          <w:rFonts w:ascii="Garamond" w:hAnsi="Garamond"/>
          <w:sz w:val="24"/>
          <w:szCs w:val="24"/>
        </w:rPr>
        <w:t xml:space="preserve">ambién se encuentra Tarapacá, </w:t>
      </w:r>
      <w:r w:rsidR="00216403" w:rsidRPr="00BE32AE">
        <w:rPr>
          <w:rFonts w:ascii="Garamond" w:hAnsi="Garamond"/>
          <w:sz w:val="24"/>
          <w:szCs w:val="24"/>
        </w:rPr>
        <w:t xml:space="preserve">pero en todo caso, es </w:t>
      </w:r>
      <w:r w:rsidR="007269DB" w:rsidRPr="00BE32AE">
        <w:rPr>
          <w:rFonts w:ascii="Garamond" w:hAnsi="Garamond"/>
          <w:sz w:val="24"/>
          <w:szCs w:val="24"/>
        </w:rPr>
        <w:t>la que menos disminuye</w:t>
      </w:r>
      <w:r w:rsidR="00216403" w:rsidRPr="00BE32AE">
        <w:rPr>
          <w:rFonts w:ascii="Garamond" w:hAnsi="Garamond"/>
          <w:sz w:val="24"/>
          <w:szCs w:val="24"/>
        </w:rPr>
        <w:t xml:space="preserve">, </w:t>
      </w:r>
      <w:r w:rsidR="00BB3BBA" w:rsidRPr="00BE32AE">
        <w:rPr>
          <w:rFonts w:ascii="Garamond" w:hAnsi="Garamond"/>
          <w:sz w:val="24"/>
          <w:szCs w:val="24"/>
        </w:rPr>
        <w:t xml:space="preserve">con una variación negativa de </w:t>
      </w:r>
      <w:r w:rsidR="00216403" w:rsidRPr="00BE32AE">
        <w:rPr>
          <w:rFonts w:ascii="Garamond" w:hAnsi="Garamond"/>
          <w:sz w:val="24"/>
          <w:szCs w:val="24"/>
        </w:rPr>
        <w:t>-4,4%</w:t>
      </w:r>
      <w:r w:rsidR="00BB3BBA" w:rsidRPr="00BE32AE">
        <w:rPr>
          <w:rFonts w:ascii="Garamond" w:hAnsi="Garamond"/>
          <w:sz w:val="24"/>
          <w:szCs w:val="24"/>
        </w:rPr>
        <w:t xml:space="preserve"> (-0,</w:t>
      </w:r>
      <w:r w:rsidR="00216403" w:rsidRPr="00BE32AE">
        <w:rPr>
          <w:rFonts w:ascii="Garamond" w:hAnsi="Garamond"/>
          <w:sz w:val="24"/>
          <w:szCs w:val="24"/>
        </w:rPr>
        <w:t>2</w:t>
      </w:r>
      <w:r w:rsidR="00BB3BBA" w:rsidRPr="00BE32AE">
        <w:rPr>
          <w:rFonts w:ascii="Garamond" w:hAnsi="Garamond"/>
          <w:sz w:val="24"/>
          <w:szCs w:val="24"/>
        </w:rPr>
        <w:t xml:space="preserve">pp), </w:t>
      </w:r>
      <w:r w:rsidR="00216403" w:rsidRPr="00BE32AE">
        <w:rPr>
          <w:rFonts w:ascii="Garamond" w:hAnsi="Garamond"/>
          <w:sz w:val="24"/>
          <w:szCs w:val="24"/>
        </w:rPr>
        <w:t xml:space="preserve">que puede estar determinado </w:t>
      </w:r>
      <w:r w:rsidR="00171E37" w:rsidRPr="00BE32AE">
        <w:rPr>
          <w:rFonts w:ascii="Garamond" w:hAnsi="Garamond"/>
          <w:sz w:val="24"/>
          <w:szCs w:val="24"/>
        </w:rPr>
        <w:t xml:space="preserve">por </w:t>
      </w:r>
      <w:r w:rsidR="00216403" w:rsidRPr="00BE32AE">
        <w:rPr>
          <w:rFonts w:ascii="Garamond" w:hAnsi="Garamond"/>
          <w:sz w:val="24"/>
          <w:szCs w:val="24"/>
        </w:rPr>
        <w:t>el efecto del territorio que actualmente ocupa</w:t>
      </w:r>
      <w:r w:rsidR="00BB3BBA" w:rsidRPr="00BE32AE">
        <w:rPr>
          <w:rFonts w:ascii="Garamond" w:hAnsi="Garamond"/>
          <w:sz w:val="24"/>
          <w:szCs w:val="24"/>
        </w:rPr>
        <w:t xml:space="preserve"> Arica y Parinacota</w:t>
      </w:r>
      <w:r w:rsidR="001A0D3D" w:rsidRPr="00BE32AE">
        <w:rPr>
          <w:rFonts w:ascii="Garamond" w:hAnsi="Garamond"/>
          <w:sz w:val="24"/>
          <w:szCs w:val="24"/>
        </w:rPr>
        <w:t>, que tiene una baja participación en la minería (9,3%).</w:t>
      </w:r>
      <w:r w:rsidR="001A0D3D" w:rsidRPr="00BE32AE">
        <w:rPr>
          <w:rStyle w:val="Refdenotaalpie"/>
          <w:rFonts w:ascii="Garamond" w:hAnsi="Garamond"/>
          <w:sz w:val="24"/>
          <w:szCs w:val="24"/>
        </w:rPr>
        <w:footnoteReference w:id="10"/>
      </w:r>
      <w:r w:rsidR="00BB3BBA" w:rsidRPr="00BE32AE">
        <w:rPr>
          <w:rStyle w:val="Refdenotaalpie"/>
          <w:rFonts w:ascii="Garamond" w:hAnsi="Garamond"/>
          <w:sz w:val="24"/>
          <w:szCs w:val="24"/>
        </w:rPr>
        <w:footnoteReference w:id="11"/>
      </w:r>
      <w:r w:rsidR="00082EA4" w:rsidRPr="00BE32AE">
        <w:rPr>
          <w:rStyle w:val="Refdenotaalpie"/>
          <w:rFonts w:ascii="Garamond" w:hAnsi="Garamond"/>
          <w:sz w:val="24"/>
          <w:szCs w:val="24"/>
        </w:rPr>
        <w:footnoteReference w:id="12"/>
      </w:r>
    </w:p>
    <w:p w:rsidR="00A961BA" w:rsidRPr="00BE32AE" w:rsidRDefault="00B97CCC" w:rsidP="000C1827">
      <w:pPr>
        <w:tabs>
          <w:tab w:val="left" w:pos="180"/>
        </w:tabs>
        <w:spacing w:after="240" w:line="288" w:lineRule="auto"/>
        <w:jc w:val="both"/>
        <w:rPr>
          <w:rFonts w:ascii="Garamond" w:hAnsi="Garamond"/>
          <w:sz w:val="24"/>
          <w:szCs w:val="24"/>
        </w:rPr>
      </w:pPr>
      <w:r w:rsidRPr="00BE32AE">
        <w:rPr>
          <w:rFonts w:ascii="Garamond" w:hAnsi="Garamond"/>
          <w:sz w:val="24"/>
          <w:szCs w:val="24"/>
        </w:rPr>
        <w:t xml:space="preserve">Las </w:t>
      </w:r>
      <w:r w:rsidR="001945FE" w:rsidRPr="00BE32AE">
        <w:rPr>
          <w:rFonts w:ascii="Garamond" w:hAnsi="Garamond"/>
          <w:sz w:val="24"/>
          <w:szCs w:val="24"/>
        </w:rPr>
        <w:t xml:space="preserve">4 </w:t>
      </w:r>
      <w:r w:rsidRPr="00BE32AE">
        <w:rPr>
          <w:rFonts w:ascii="Garamond" w:hAnsi="Garamond"/>
          <w:sz w:val="24"/>
          <w:szCs w:val="24"/>
        </w:rPr>
        <w:t xml:space="preserve">regiones mineras contribuyen con el </w:t>
      </w:r>
      <w:r w:rsidR="00C32DB8" w:rsidRPr="00BE32AE">
        <w:rPr>
          <w:rFonts w:ascii="Garamond" w:hAnsi="Garamond"/>
          <w:sz w:val="24"/>
          <w:szCs w:val="24"/>
        </w:rPr>
        <w:t>19,0% del PIB regionalizado (</w:t>
      </w:r>
      <w:r w:rsidR="001945FE" w:rsidRPr="00BE32AE">
        <w:rPr>
          <w:rFonts w:ascii="Garamond" w:hAnsi="Garamond"/>
          <w:sz w:val="24"/>
          <w:szCs w:val="24"/>
        </w:rPr>
        <w:t>17,2</w:t>
      </w:r>
      <w:r w:rsidRPr="00BE32AE">
        <w:rPr>
          <w:rFonts w:ascii="Garamond" w:hAnsi="Garamond"/>
          <w:sz w:val="24"/>
          <w:szCs w:val="24"/>
        </w:rPr>
        <w:t xml:space="preserve">% del PIB </w:t>
      </w:r>
      <w:r w:rsidR="00C32DB8" w:rsidRPr="00BE32AE">
        <w:rPr>
          <w:rFonts w:ascii="Garamond" w:hAnsi="Garamond"/>
          <w:sz w:val="24"/>
          <w:szCs w:val="24"/>
        </w:rPr>
        <w:t>total)</w:t>
      </w:r>
      <w:r w:rsidRPr="00BE32AE">
        <w:rPr>
          <w:rFonts w:ascii="Garamond" w:hAnsi="Garamond"/>
          <w:sz w:val="24"/>
          <w:szCs w:val="24"/>
        </w:rPr>
        <w:t xml:space="preserve">, </w:t>
      </w:r>
      <w:r w:rsidR="001945FE" w:rsidRPr="00BE32AE">
        <w:rPr>
          <w:rFonts w:ascii="Garamond" w:hAnsi="Garamond"/>
          <w:sz w:val="24"/>
          <w:szCs w:val="24"/>
        </w:rPr>
        <w:t xml:space="preserve">y </w:t>
      </w:r>
      <w:r w:rsidR="00A961BA" w:rsidRPr="00BE32AE">
        <w:rPr>
          <w:rFonts w:ascii="Garamond" w:hAnsi="Garamond"/>
          <w:sz w:val="24"/>
          <w:szCs w:val="24"/>
        </w:rPr>
        <w:t xml:space="preserve">su participación relativa en la generación del producto ha logrado </w:t>
      </w:r>
      <w:r w:rsidRPr="00BE32AE">
        <w:rPr>
          <w:rFonts w:ascii="Garamond" w:hAnsi="Garamond"/>
          <w:sz w:val="24"/>
          <w:szCs w:val="24"/>
        </w:rPr>
        <w:t>avanza</w:t>
      </w:r>
      <w:r w:rsidR="00A961BA" w:rsidRPr="00BE32AE">
        <w:rPr>
          <w:rFonts w:ascii="Garamond" w:hAnsi="Garamond"/>
          <w:sz w:val="24"/>
          <w:szCs w:val="24"/>
        </w:rPr>
        <w:t>r en 4,3 puntos porcentuales</w:t>
      </w:r>
      <w:r w:rsidR="00BB552F" w:rsidRPr="00BE32AE">
        <w:rPr>
          <w:rFonts w:ascii="Garamond" w:hAnsi="Garamond"/>
          <w:sz w:val="24"/>
          <w:szCs w:val="24"/>
        </w:rPr>
        <w:t xml:space="preserve"> en esa participación</w:t>
      </w:r>
      <w:r w:rsidR="00A961BA" w:rsidRPr="00BE32AE">
        <w:rPr>
          <w:rFonts w:ascii="Garamond" w:hAnsi="Garamond"/>
          <w:sz w:val="24"/>
          <w:szCs w:val="24"/>
        </w:rPr>
        <w:t>, entre 1985 y 2011</w:t>
      </w:r>
      <w:r w:rsidR="00EF69C8" w:rsidRPr="00BE32AE">
        <w:rPr>
          <w:rFonts w:ascii="Garamond" w:hAnsi="Garamond"/>
          <w:sz w:val="24"/>
          <w:szCs w:val="24"/>
        </w:rPr>
        <w:t>, que correspondió a un crecimiento de</w:t>
      </w:r>
      <w:r w:rsidR="00BB552F" w:rsidRPr="00BE32AE">
        <w:rPr>
          <w:rFonts w:ascii="Garamond" w:hAnsi="Garamond"/>
          <w:sz w:val="24"/>
          <w:szCs w:val="24"/>
        </w:rPr>
        <w:t xml:space="preserve">l </w:t>
      </w:r>
      <w:r w:rsidR="00171E37" w:rsidRPr="00BE32AE">
        <w:rPr>
          <w:rFonts w:ascii="Garamond" w:hAnsi="Garamond"/>
          <w:sz w:val="24"/>
          <w:szCs w:val="24"/>
        </w:rPr>
        <w:t xml:space="preserve">PIB </w:t>
      </w:r>
      <w:r w:rsidR="00BB552F" w:rsidRPr="00BE32AE">
        <w:rPr>
          <w:rFonts w:ascii="Garamond" w:hAnsi="Garamond"/>
          <w:sz w:val="24"/>
          <w:szCs w:val="24"/>
        </w:rPr>
        <w:t xml:space="preserve">acumulado para esas regiones, de </w:t>
      </w:r>
      <w:r w:rsidR="00EF69C8" w:rsidRPr="00BE32AE">
        <w:rPr>
          <w:rFonts w:ascii="Garamond" w:hAnsi="Garamond"/>
          <w:sz w:val="24"/>
          <w:szCs w:val="24"/>
        </w:rPr>
        <w:t>282%</w:t>
      </w:r>
      <w:r w:rsidR="00A961BA" w:rsidRPr="00BE32AE">
        <w:rPr>
          <w:rFonts w:ascii="Garamond" w:hAnsi="Garamond"/>
          <w:sz w:val="24"/>
          <w:szCs w:val="24"/>
        </w:rPr>
        <w:t xml:space="preserve">. </w:t>
      </w:r>
      <w:r w:rsidR="005B1A75" w:rsidRPr="00D47907">
        <w:rPr>
          <w:rFonts w:ascii="Garamond" w:hAnsi="Garamond"/>
          <w:sz w:val="24"/>
          <w:szCs w:val="24"/>
        </w:rPr>
        <w:t xml:space="preserve">En ese mismo período el  precio del cobre </w:t>
      </w:r>
      <w:r w:rsidR="00C12F32" w:rsidRPr="00D47907">
        <w:rPr>
          <w:rFonts w:ascii="Garamond" w:hAnsi="Garamond"/>
          <w:sz w:val="24"/>
          <w:szCs w:val="24"/>
        </w:rPr>
        <w:t>que determina en un alto porcentaje la activ</w:t>
      </w:r>
      <w:r w:rsidR="00171E37" w:rsidRPr="00D47907">
        <w:rPr>
          <w:rFonts w:ascii="Garamond" w:hAnsi="Garamond"/>
          <w:sz w:val="24"/>
          <w:szCs w:val="24"/>
        </w:rPr>
        <w:t>idades que se desarrollan en eso</w:t>
      </w:r>
      <w:r w:rsidR="00C12F32" w:rsidRPr="00D47907">
        <w:rPr>
          <w:rFonts w:ascii="Garamond" w:hAnsi="Garamond"/>
          <w:sz w:val="24"/>
          <w:szCs w:val="24"/>
        </w:rPr>
        <w:t xml:space="preserve">s territorios, </w:t>
      </w:r>
      <w:r w:rsidR="005B1A75" w:rsidRPr="00D47907">
        <w:rPr>
          <w:rFonts w:ascii="Garamond" w:hAnsi="Garamond"/>
          <w:sz w:val="24"/>
          <w:szCs w:val="24"/>
        </w:rPr>
        <w:t xml:space="preserve">creció </w:t>
      </w:r>
      <w:r w:rsidR="00EF69C8" w:rsidRPr="00D47907">
        <w:rPr>
          <w:rFonts w:ascii="Garamond" w:hAnsi="Garamond"/>
          <w:sz w:val="24"/>
          <w:szCs w:val="24"/>
        </w:rPr>
        <w:t>228%</w:t>
      </w:r>
      <w:r w:rsidR="00EF69C8" w:rsidRPr="00D47907">
        <w:rPr>
          <w:rStyle w:val="Refdenotaalpie"/>
          <w:rFonts w:ascii="Garamond" w:hAnsi="Garamond"/>
          <w:sz w:val="24"/>
          <w:szCs w:val="24"/>
        </w:rPr>
        <w:footnoteReference w:id="13"/>
      </w:r>
      <w:r w:rsidR="00EF69C8" w:rsidRPr="00D47907">
        <w:rPr>
          <w:rFonts w:ascii="Garamond" w:hAnsi="Garamond"/>
          <w:sz w:val="24"/>
          <w:szCs w:val="24"/>
        </w:rPr>
        <w:t xml:space="preserve"> y la producción de cobre se incrementó en 288%</w:t>
      </w:r>
      <w:r w:rsidR="007165B0" w:rsidRPr="00D47907">
        <w:rPr>
          <w:rFonts w:ascii="Garamond" w:hAnsi="Garamond"/>
          <w:sz w:val="24"/>
          <w:szCs w:val="24"/>
        </w:rPr>
        <w:t>.</w:t>
      </w:r>
    </w:p>
    <w:p w:rsidR="00B13488" w:rsidRPr="00BE32AE" w:rsidRDefault="003C480F"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La Tasa de Participación del PIB por Actividad Económica</w:t>
      </w:r>
      <w:r w:rsidRPr="00BE32AE">
        <w:rPr>
          <w:rStyle w:val="Refdenotaalpie"/>
          <w:rFonts w:ascii="Garamond" w:hAnsi="Garamond" w:cs="Arial"/>
        </w:rPr>
        <w:footnoteReference w:id="14"/>
      </w:r>
      <w:r w:rsidRPr="00BE32AE">
        <w:rPr>
          <w:rFonts w:ascii="Garamond" w:hAnsi="Garamond" w:cs="Arial"/>
        </w:rPr>
        <w:t xml:space="preserve"> muestra las diferentes vocaciones productivas de las regiones.  </w:t>
      </w:r>
      <w:r w:rsidR="00A23592" w:rsidRPr="00BE32AE">
        <w:rPr>
          <w:rFonts w:ascii="Garamond" w:hAnsi="Garamond" w:cs="Arial"/>
        </w:rPr>
        <w:t>Como se ha indicado, a nivel de sector primario la Minería tiene una gran participación en 4 regiones del Norte, que son Antofagasta (62,7%), Atacama (47,7%), Tarapacá (46,7%), y Coquimbo (40,9%)</w:t>
      </w:r>
      <w:r w:rsidR="0060540D" w:rsidRPr="00BE32AE">
        <w:rPr>
          <w:rFonts w:ascii="Garamond" w:hAnsi="Garamond" w:cs="Arial"/>
        </w:rPr>
        <w:t>; lo que representa el 77,2% del total de la Minería en el país, y el 10,3% del total del PIB del país en el 2011</w:t>
      </w:r>
      <w:r w:rsidR="0060540D" w:rsidRPr="00BE32AE">
        <w:rPr>
          <w:rStyle w:val="Refdenotaalpie"/>
          <w:rFonts w:ascii="Garamond" w:hAnsi="Garamond" w:cs="Arial"/>
        </w:rPr>
        <w:footnoteReference w:id="15"/>
      </w:r>
      <w:r w:rsidR="0060540D" w:rsidRPr="00BE32AE">
        <w:rPr>
          <w:rFonts w:ascii="Garamond" w:hAnsi="Garamond" w:cs="Arial"/>
        </w:rPr>
        <w:t>.</w:t>
      </w:r>
    </w:p>
    <w:p w:rsidR="00407A1E" w:rsidRPr="00BE32AE" w:rsidRDefault="00407A1E" w:rsidP="000C1827">
      <w:pPr>
        <w:tabs>
          <w:tab w:val="left" w:pos="180"/>
        </w:tabs>
        <w:spacing w:after="240" w:line="288" w:lineRule="auto"/>
        <w:jc w:val="both"/>
        <w:rPr>
          <w:rFonts w:ascii="Garamond" w:hAnsi="Garamond"/>
          <w:sz w:val="24"/>
          <w:szCs w:val="24"/>
        </w:rPr>
      </w:pPr>
      <w:r w:rsidRPr="00BE32AE">
        <w:rPr>
          <w:rFonts w:ascii="Garamond" w:hAnsi="Garamond"/>
          <w:sz w:val="24"/>
          <w:szCs w:val="24"/>
        </w:rPr>
        <w:t>La especialización de las regiones en la actividad minera según el IndiceBalassa-Hoover</w:t>
      </w:r>
      <w:r w:rsidR="00E60D12">
        <w:rPr>
          <w:rFonts w:ascii="Garamond" w:hAnsi="Garamond"/>
          <w:sz w:val="24"/>
          <w:szCs w:val="24"/>
        </w:rPr>
        <w:t xml:space="preserve"> (Indice BH)</w:t>
      </w:r>
      <w:r w:rsidRPr="00BE32AE">
        <w:rPr>
          <w:rFonts w:ascii="Garamond" w:hAnsi="Garamond"/>
          <w:sz w:val="24"/>
          <w:szCs w:val="24"/>
        </w:rPr>
        <w:t>,</w:t>
      </w:r>
      <w:r w:rsidRPr="00BE32AE">
        <w:rPr>
          <w:rStyle w:val="Refdenotaalpie"/>
          <w:rFonts w:ascii="Garamond" w:hAnsi="Garamond"/>
          <w:sz w:val="24"/>
          <w:szCs w:val="24"/>
        </w:rPr>
        <w:footnoteReference w:id="16"/>
      </w:r>
      <w:r w:rsidR="00620422" w:rsidRPr="00BE32AE">
        <w:rPr>
          <w:rFonts w:ascii="Garamond" w:hAnsi="Garamond"/>
          <w:sz w:val="24"/>
          <w:szCs w:val="24"/>
        </w:rPr>
        <w:t xml:space="preserve">entrega un promedio para todas las regiones de 2,2 en 2012, y una mediana de 1,1, destacando los valores para las regiones mineras, de 7,4, 6,0, 4,9 y 3,9, en Antofagasta, Atacama, Tarapacá y Coquimbo, respectivamente. </w:t>
      </w:r>
      <w:r w:rsidR="00FB4045" w:rsidRPr="00BE32AE">
        <w:rPr>
          <w:rFonts w:ascii="Garamond" w:hAnsi="Garamond"/>
          <w:sz w:val="24"/>
          <w:szCs w:val="24"/>
        </w:rPr>
        <w:t>La mediana del índice para estas 4 regiones es de 5,5, sin tener una variación significativa en 26 años.</w:t>
      </w:r>
      <w:r w:rsidR="00D05351">
        <w:rPr>
          <w:rFonts w:ascii="Garamond" w:hAnsi="Garamond"/>
          <w:sz w:val="24"/>
          <w:szCs w:val="24"/>
        </w:rPr>
        <w:t xml:space="preserve"> Estos resultados indican una muy alta especialización, que crece a partir de uno, que indica nula especialización. </w:t>
      </w:r>
    </w:p>
    <w:p w:rsidR="003C480F" w:rsidRPr="00BE32AE" w:rsidRDefault="00575FD8"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Otro sector </w:t>
      </w:r>
      <w:r w:rsidR="00A23592" w:rsidRPr="00BE32AE">
        <w:rPr>
          <w:rFonts w:ascii="Garamond" w:hAnsi="Garamond" w:cs="Arial"/>
        </w:rPr>
        <w:t>primario</w:t>
      </w:r>
      <w:r w:rsidRPr="00BE32AE">
        <w:rPr>
          <w:rFonts w:ascii="Garamond" w:hAnsi="Garamond" w:cs="Arial"/>
        </w:rPr>
        <w:t xml:space="preserve"> es</w:t>
      </w:r>
      <w:r w:rsidR="00A23592" w:rsidRPr="00BE32AE">
        <w:rPr>
          <w:rFonts w:ascii="Garamond" w:hAnsi="Garamond" w:cs="Arial"/>
        </w:rPr>
        <w:t xml:space="preserve"> la </w:t>
      </w:r>
      <w:r w:rsidR="003C480F" w:rsidRPr="00BE32AE">
        <w:rPr>
          <w:rFonts w:ascii="Garamond" w:hAnsi="Garamond" w:cs="Arial"/>
        </w:rPr>
        <w:t>actividad Agropecuario – Silvícola</w:t>
      </w:r>
      <w:r w:rsidRPr="00BE32AE">
        <w:rPr>
          <w:rFonts w:ascii="Garamond" w:hAnsi="Garamond" w:cs="Arial"/>
        </w:rPr>
        <w:t>, que</w:t>
      </w:r>
      <w:r w:rsidR="003C480F" w:rsidRPr="00BE32AE">
        <w:rPr>
          <w:rFonts w:ascii="Garamond" w:hAnsi="Garamond" w:cs="Arial"/>
        </w:rPr>
        <w:t xml:space="preserve"> tiene</w:t>
      </w:r>
      <w:r w:rsidR="00A23592" w:rsidRPr="00BE32AE">
        <w:rPr>
          <w:rFonts w:ascii="Garamond" w:hAnsi="Garamond" w:cs="Arial"/>
        </w:rPr>
        <w:t xml:space="preserve"> mayor participación en </w:t>
      </w:r>
      <w:r w:rsidR="002944E6" w:rsidRPr="00BE32AE">
        <w:rPr>
          <w:rFonts w:ascii="Garamond" w:hAnsi="Garamond" w:cs="Arial"/>
        </w:rPr>
        <w:t xml:space="preserve">Los Ríos (12,9%), O’Higgins (12,7%) Maule (12,4%) y La Araucanía (11,9%), en porcentajes que han variado en forma decreciente por </w:t>
      </w:r>
      <w:r w:rsidR="00A23592" w:rsidRPr="00BE32AE">
        <w:rPr>
          <w:rFonts w:ascii="Garamond" w:hAnsi="Garamond" w:cs="Arial"/>
        </w:rPr>
        <w:t>la mecanización de los procesos productivos</w:t>
      </w:r>
      <w:r w:rsidR="002944E6" w:rsidRPr="00BE32AE">
        <w:rPr>
          <w:rFonts w:ascii="Garamond" w:hAnsi="Garamond" w:cs="Arial"/>
        </w:rPr>
        <w:t xml:space="preserve"> que significan el desarrollo</w:t>
      </w:r>
      <w:r w:rsidR="00A23592" w:rsidRPr="00BE32AE">
        <w:rPr>
          <w:rFonts w:ascii="Garamond" w:hAnsi="Garamond" w:cs="Arial"/>
        </w:rPr>
        <w:t xml:space="preserve"> de la Agroindustria, en la Industria Manufacturera</w:t>
      </w:r>
      <w:r w:rsidRPr="00BE32AE">
        <w:rPr>
          <w:rStyle w:val="Refdenotaalpie"/>
          <w:rFonts w:ascii="Garamond" w:hAnsi="Garamond" w:cs="Arial"/>
        </w:rPr>
        <w:footnoteReference w:id="17"/>
      </w:r>
      <w:r w:rsidR="002944E6" w:rsidRPr="00BE32AE">
        <w:rPr>
          <w:rFonts w:ascii="Garamond" w:hAnsi="Garamond" w:cs="Arial"/>
        </w:rPr>
        <w:t>.Y l</w:t>
      </w:r>
      <w:r w:rsidR="003C480F" w:rsidRPr="00BE32AE">
        <w:rPr>
          <w:rFonts w:ascii="Garamond" w:hAnsi="Garamond" w:cs="Arial"/>
        </w:rPr>
        <w:t>a Pesca es relevante en Aysén (13%)</w:t>
      </w:r>
      <w:r w:rsidRPr="00BE32AE">
        <w:rPr>
          <w:rFonts w:ascii="Garamond" w:hAnsi="Garamond" w:cs="Arial"/>
        </w:rPr>
        <w:t xml:space="preserve">, </w:t>
      </w:r>
      <w:r w:rsidR="003C480F" w:rsidRPr="00BE32AE">
        <w:rPr>
          <w:rFonts w:ascii="Garamond" w:hAnsi="Garamond" w:cs="Arial"/>
        </w:rPr>
        <w:t>y Los Lagos (</w:t>
      </w:r>
      <w:r w:rsidRPr="00BE32AE">
        <w:rPr>
          <w:rFonts w:ascii="Garamond" w:hAnsi="Garamond" w:cs="Arial"/>
        </w:rPr>
        <w:t>6,2%</w:t>
      </w:r>
      <w:r w:rsidR="003C480F" w:rsidRPr="00BE32AE">
        <w:rPr>
          <w:rFonts w:ascii="Garamond" w:hAnsi="Garamond" w:cs="Arial"/>
        </w:rPr>
        <w:t>)</w:t>
      </w:r>
      <w:r w:rsidRPr="00BE32AE">
        <w:rPr>
          <w:rFonts w:ascii="Garamond" w:hAnsi="Garamond" w:cs="Arial"/>
        </w:rPr>
        <w:t>, también aminorada por las plantas procesadoras que caben en la industria</w:t>
      </w:r>
      <w:r w:rsidRPr="00BE32AE">
        <w:rPr>
          <w:rStyle w:val="Refdenotaalpie"/>
          <w:rFonts w:ascii="Garamond" w:hAnsi="Garamond" w:cs="Arial"/>
        </w:rPr>
        <w:footnoteReference w:id="18"/>
      </w:r>
      <w:r w:rsidR="003C480F" w:rsidRPr="00BE32AE">
        <w:rPr>
          <w:rFonts w:ascii="Garamond" w:hAnsi="Garamond" w:cs="Arial"/>
        </w:rPr>
        <w:t xml:space="preserve">.  </w:t>
      </w:r>
    </w:p>
    <w:p w:rsidR="00553110" w:rsidRPr="00BE32AE" w:rsidRDefault="009406E4" w:rsidP="000C1827">
      <w:pPr>
        <w:tabs>
          <w:tab w:val="left" w:pos="180"/>
        </w:tabs>
        <w:spacing w:after="240" w:line="288" w:lineRule="auto"/>
        <w:jc w:val="both"/>
        <w:rPr>
          <w:rFonts w:ascii="Garamond" w:hAnsi="Garamond"/>
          <w:sz w:val="24"/>
          <w:szCs w:val="24"/>
        </w:rPr>
      </w:pPr>
      <w:r>
        <w:rPr>
          <w:rFonts w:ascii="Garamond" w:hAnsi="Garamond"/>
          <w:sz w:val="24"/>
          <w:szCs w:val="24"/>
        </w:rPr>
        <w:t xml:space="preserve">Con respecto a la especialización (I B-H) en </w:t>
      </w:r>
      <w:r w:rsidR="00553110" w:rsidRPr="00BE32AE">
        <w:rPr>
          <w:rFonts w:ascii="Garamond" w:hAnsi="Garamond"/>
          <w:sz w:val="24"/>
          <w:szCs w:val="24"/>
        </w:rPr>
        <w:t xml:space="preserve">la Agricultura, es encabezada por Maule, con un resultado de 4,2, (sube </w:t>
      </w:r>
      <w:r w:rsidR="00FB4045" w:rsidRPr="00BE32AE">
        <w:rPr>
          <w:rFonts w:ascii="Garamond" w:hAnsi="Garamond"/>
          <w:sz w:val="24"/>
          <w:szCs w:val="24"/>
        </w:rPr>
        <w:t xml:space="preserve">desde </w:t>
      </w:r>
      <w:r w:rsidR="00553110" w:rsidRPr="00BE32AE">
        <w:rPr>
          <w:rFonts w:ascii="Garamond" w:hAnsi="Garamond"/>
          <w:sz w:val="24"/>
          <w:szCs w:val="24"/>
        </w:rPr>
        <w:t xml:space="preserve">2,2 en 26 años). Y </w:t>
      </w:r>
      <w:r>
        <w:rPr>
          <w:rFonts w:ascii="Garamond" w:hAnsi="Garamond"/>
          <w:sz w:val="24"/>
          <w:szCs w:val="24"/>
        </w:rPr>
        <w:t xml:space="preserve">en </w:t>
      </w:r>
      <w:r w:rsidR="00553110" w:rsidRPr="00BE32AE">
        <w:rPr>
          <w:rFonts w:ascii="Garamond" w:hAnsi="Garamond"/>
          <w:sz w:val="24"/>
          <w:szCs w:val="24"/>
        </w:rPr>
        <w:t>la Pesca alcanza valores de 8,2 y 7,1, en Aysen y Los Lagos, respectivamente</w:t>
      </w:r>
      <w:r w:rsidR="00FB4045" w:rsidRPr="00BE32AE">
        <w:rPr>
          <w:rFonts w:ascii="Garamond" w:hAnsi="Garamond"/>
          <w:sz w:val="24"/>
          <w:szCs w:val="24"/>
        </w:rPr>
        <w:t xml:space="preserve">, que significan variaciones de </w:t>
      </w:r>
      <w:r w:rsidR="00783345" w:rsidRPr="00BE32AE">
        <w:rPr>
          <w:rFonts w:ascii="Garamond" w:hAnsi="Garamond"/>
          <w:sz w:val="24"/>
          <w:szCs w:val="24"/>
        </w:rPr>
        <w:t>5,7 y 3,5 veces</w:t>
      </w:r>
      <w:r>
        <w:rPr>
          <w:rFonts w:ascii="Garamond" w:hAnsi="Garamond"/>
          <w:sz w:val="24"/>
          <w:szCs w:val="24"/>
        </w:rPr>
        <w:t xml:space="preserve"> en ese tiempo</w:t>
      </w:r>
      <w:r w:rsidR="00783345" w:rsidRPr="00BE32AE">
        <w:rPr>
          <w:rFonts w:ascii="Garamond" w:hAnsi="Garamond"/>
          <w:sz w:val="24"/>
          <w:szCs w:val="24"/>
        </w:rPr>
        <w:t>.</w:t>
      </w:r>
    </w:p>
    <w:p w:rsidR="00B158F5" w:rsidRDefault="00740F4C" w:rsidP="008B4D5D">
      <w:pPr>
        <w:autoSpaceDE w:val="0"/>
        <w:autoSpaceDN w:val="0"/>
        <w:adjustRightInd w:val="0"/>
        <w:spacing w:after="0" w:line="288" w:lineRule="auto"/>
        <w:jc w:val="both"/>
        <w:rPr>
          <w:rFonts w:ascii="Garamond" w:hAnsi="Garamond" w:cs="Arial"/>
          <w:sz w:val="24"/>
          <w:szCs w:val="24"/>
        </w:rPr>
      </w:pPr>
      <w:r w:rsidRPr="008B4D5D">
        <w:rPr>
          <w:rFonts w:ascii="Garamond" w:hAnsi="Garamond" w:cs="Arial"/>
          <w:sz w:val="24"/>
          <w:szCs w:val="24"/>
        </w:rPr>
        <w:t xml:space="preserve">En el </w:t>
      </w:r>
      <w:r w:rsidRPr="008B4D5D">
        <w:rPr>
          <w:rFonts w:ascii="Garamond" w:hAnsi="Garamond"/>
          <w:sz w:val="24"/>
          <w:szCs w:val="24"/>
        </w:rPr>
        <w:t xml:space="preserve">Sector Secundario, </w:t>
      </w:r>
      <w:r w:rsidR="009406E4" w:rsidRPr="008B4D5D">
        <w:rPr>
          <w:rFonts w:ascii="Garamond" w:hAnsi="Garamond"/>
          <w:sz w:val="24"/>
          <w:szCs w:val="24"/>
        </w:rPr>
        <w:t>l</w:t>
      </w:r>
      <w:r w:rsidRPr="008B4D5D">
        <w:rPr>
          <w:rFonts w:ascii="Garamond" w:hAnsi="Garamond"/>
          <w:sz w:val="24"/>
          <w:szCs w:val="24"/>
        </w:rPr>
        <w:t>a Industria Manufacturera</w:t>
      </w:r>
      <w:r w:rsidR="00575FD8" w:rsidRPr="008B4D5D">
        <w:rPr>
          <w:rFonts w:ascii="Garamond" w:hAnsi="Garamond"/>
          <w:sz w:val="24"/>
          <w:szCs w:val="24"/>
        </w:rPr>
        <w:t xml:space="preserve"> que representa el 11,8% del PIB del país, en el 2011,</w:t>
      </w:r>
      <w:r w:rsidRPr="008B4D5D">
        <w:rPr>
          <w:rFonts w:ascii="Garamond" w:hAnsi="Garamond"/>
          <w:sz w:val="24"/>
          <w:szCs w:val="24"/>
        </w:rPr>
        <w:t xml:space="preserve"> tiene </w:t>
      </w:r>
      <w:r w:rsidR="00D50451" w:rsidRPr="008B4D5D">
        <w:rPr>
          <w:rFonts w:ascii="Garamond" w:hAnsi="Garamond"/>
          <w:sz w:val="24"/>
          <w:szCs w:val="24"/>
        </w:rPr>
        <w:t xml:space="preserve">principal </w:t>
      </w:r>
      <w:r w:rsidRPr="008B4D5D">
        <w:rPr>
          <w:rFonts w:ascii="Garamond" w:hAnsi="Garamond"/>
          <w:sz w:val="24"/>
          <w:szCs w:val="24"/>
        </w:rPr>
        <w:t>presencia en las regiones</w:t>
      </w:r>
      <w:r w:rsidR="00D50451" w:rsidRPr="008B4D5D">
        <w:rPr>
          <w:rFonts w:ascii="Garamond" w:hAnsi="Garamond"/>
          <w:sz w:val="24"/>
          <w:szCs w:val="24"/>
        </w:rPr>
        <w:t xml:space="preserve"> de</w:t>
      </w:r>
      <w:r w:rsidR="00B60F91" w:rsidRPr="008B4D5D">
        <w:rPr>
          <w:rFonts w:ascii="Garamond" w:hAnsi="Garamond"/>
          <w:sz w:val="24"/>
          <w:szCs w:val="24"/>
        </w:rPr>
        <w:t xml:space="preserve"> Biobío</w:t>
      </w:r>
      <w:r w:rsidR="00D50451" w:rsidRPr="008B4D5D">
        <w:rPr>
          <w:rFonts w:ascii="Garamond" w:hAnsi="Garamond"/>
          <w:sz w:val="24"/>
          <w:szCs w:val="24"/>
        </w:rPr>
        <w:t xml:space="preserve">, con un 23% (y un aporte </w:t>
      </w:r>
      <w:r w:rsidR="009406E4" w:rsidRPr="008B4D5D">
        <w:rPr>
          <w:rFonts w:ascii="Garamond" w:hAnsi="Garamond"/>
          <w:sz w:val="24"/>
          <w:szCs w:val="24"/>
        </w:rPr>
        <w:t>a</w:t>
      </w:r>
      <w:r w:rsidR="00D50451" w:rsidRPr="008B4D5D">
        <w:rPr>
          <w:rFonts w:ascii="Garamond" w:hAnsi="Garamond"/>
          <w:sz w:val="24"/>
          <w:szCs w:val="24"/>
        </w:rPr>
        <w:t xml:space="preserve">l producto </w:t>
      </w:r>
      <w:r w:rsidR="000519E2" w:rsidRPr="008B4D5D">
        <w:rPr>
          <w:rFonts w:ascii="Garamond" w:hAnsi="Garamond"/>
          <w:sz w:val="24"/>
          <w:szCs w:val="24"/>
        </w:rPr>
        <w:t xml:space="preserve">sectorial </w:t>
      </w:r>
      <w:r w:rsidR="00D50451" w:rsidRPr="008B4D5D">
        <w:rPr>
          <w:rFonts w:ascii="Garamond" w:hAnsi="Garamond"/>
          <w:sz w:val="24"/>
          <w:szCs w:val="24"/>
        </w:rPr>
        <w:t>de 16%), Los Ríos, 22% (2,3%), y Maule y Valparaíso, con un 16%, (cada una contribu</w:t>
      </w:r>
      <w:r w:rsidR="00B24D34" w:rsidRPr="008B4D5D">
        <w:rPr>
          <w:rFonts w:ascii="Garamond" w:hAnsi="Garamond"/>
          <w:sz w:val="24"/>
          <w:szCs w:val="24"/>
        </w:rPr>
        <w:t>ye con el</w:t>
      </w:r>
      <w:r w:rsidR="00D50451" w:rsidRPr="008B4D5D">
        <w:rPr>
          <w:rFonts w:ascii="Garamond" w:hAnsi="Garamond"/>
          <w:sz w:val="24"/>
          <w:szCs w:val="24"/>
        </w:rPr>
        <w:t xml:space="preserve"> 4,8% y 10,9%, respectivamente)</w:t>
      </w:r>
      <w:r w:rsidR="00B24D34" w:rsidRPr="008B4D5D">
        <w:rPr>
          <w:rFonts w:ascii="Garamond" w:hAnsi="Garamond"/>
          <w:sz w:val="24"/>
          <w:szCs w:val="24"/>
        </w:rPr>
        <w:t xml:space="preserve">. También cabe mencionar a Santiago, que con una menor participación (11,8%), el aporte es casi la mitad del PIB del sector (48%). </w:t>
      </w:r>
      <w:r w:rsidR="00D50451" w:rsidRPr="008B4D5D">
        <w:rPr>
          <w:rFonts w:ascii="Garamond" w:hAnsi="Garamond"/>
          <w:sz w:val="24"/>
          <w:szCs w:val="24"/>
        </w:rPr>
        <w:t xml:space="preserve"> En relación a </w:t>
      </w:r>
      <w:r w:rsidR="00B24D34" w:rsidRPr="008B4D5D">
        <w:rPr>
          <w:rFonts w:ascii="Garamond" w:hAnsi="Garamond"/>
          <w:sz w:val="24"/>
          <w:szCs w:val="24"/>
        </w:rPr>
        <w:t xml:space="preserve">las regiones mineras, </w:t>
      </w:r>
      <w:r w:rsidR="00D50451" w:rsidRPr="008B4D5D">
        <w:rPr>
          <w:rFonts w:ascii="Garamond" w:hAnsi="Garamond"/>
          <w:sz w:val="24"/>
          <w:szCs w:val="24"/>
        </w:rPr>
        <w:t xml:space="preserve">su </w:t>
      </w:r>
      <w:r w:rsidR="00B24D34" w:rsidRPr="008B4D5D">
        <w:rPr>
          <w:rFonts w:ascii="Garamond" w:hAnsi="Garamond"/>
          <w:sz w:val="24"/>
          <w:szCs w:val="24"/>
        </w:rPr>
        <w:t>participación fluctúa entre 5,5% (Antofagasta) y 0,6% (Atacama), con una mediana de 4,5%</w:t>
      </w:r>
      <w:r w:rsidR="00B158F5" w:rsidRPr="008B4D5D">
        <w:rPr>
          <w:rFonts w:ascii="Garamond" w:hAnsi="Garamond"/>
          <w:sz w:val="24"/>
          <w:szCs w:val="24"/>
        </w:rPr>
        <w:t>; y con un aporte sectorial al PIB de 6,6%</w:t>
      </w:r>
      <w:r w:rsidR="009C02E5" w:rsidRPr="008B4D5D">
        <w:rPr>
          <w:rFonts w:ascii="Garamond" w:hAnsi="Garamond"/>
          <w:sz w:val="24"/>
          <w:szCs w:val="24"/>
        </w:rPr>
        <w:t xml:space="preserve">; porcentaje que </w:t>
      </w:r>
      <w:r w:rsidR="009406E4" w:rsidRPr="008B4D5D">
        <w:rPr>
          <w:rFonts w:ascii="Garamond" w:hAnsi="Garamond"/>
          <w:sz w:val="24"/>
          <w:szCs w:val="24"/>
        </w:rPr>
        <w:t xml:space="preserve">es inferior a </w:t>
      </w:r>
      <w:r w:rsidR="009C02E5" w:rsidRPr="008B4D5D">
        <w:rPr>
          <w:rFonts w:ascii="Garamond" w:hAnsi="Garamond"/>
          <w:sz w:val="24"/>
          <w:szCs w:val="24"/>
        </w:rPr>
        <w:t xml:space="preserve">la participación de esas regiones al PIB, de 19%. </w:t>
      </w:r>
      <w:r w:rsidR="00B158F5" w:rsidRPr="008B4D5D">
        <w:rPr>
          <w:rFonts w:ascii="Garamond" w:hAnsi="Garamond"/>
          <w:sz w:val="24"/>
          <w:szCs w:val="24"/>
        </w:rPr>
        <w:t xml:space="preserve">Esto señala la baja incorporación de tecnología </w:t>
      </w:r>
      <w:r w:rsidR="009C02E5" w:rsidRPr="008B4D5D">
        <w:rPr>
          <w:rFonts w:ascii="Garamond" w:hAnsi="Garamond"/>
          <w:sz w:val="24"/>
          <w:szCs w:val="24"/>
        </w:rPr>
        <w:t xml:space="preserve">y valor agregado </w:t>
      </w:r>
      <w:r w:rsidR="00B158F5" w:rsidRPr="008B4D5D">
        <w:rPr>
          <w:rFonts w:ascii="Garamond" w:hAnsi="Garamond"/>
          <w:sz w:val="24"/>
          <w:szCs w:val="24"/>
        </w:rPr>
        <w:t>a las actividades locales, principalmente en el cobre.</w:t>
      </w:r>
      <w:r w:rsidR="008B4D5D" w:rsidRPr="008B4D5D">
        <w:rPr>
          <w:rFonts w:ascii="Garamond" w:hAnsi="Garamond"/>
          <w:sz w:val="24"/>
          <w:szCs w:val="24"/>
        </w:rPr>
        <w:t xml:space="preserve">No obstante lo anterior, </w:t>
      </w:r>
      <w:r w:rsidR="005C7167" w:rsidRPr="008B4D5D">
        <w:rPr>
          <w:rFonts w:ascii="Garamond" w:hAnsi="Garamond" w:cs="Arial"/>
          <w:sz w:val="24"/>
          <w:szCs w:val="24"/>
        </w:rPr>
        <w:t xml:space="preserve">referido a los eslabonamientos hacia adelante, </w:t>
      </w:r>
      <w:r w:rsidR="00E93B99" w:rsidRPr="008B4D5D">
        <w:rPr>
          <w:rFonts w:ascii="Garamond" w:hAnsi="Garamond" w:cs="Arial"/>
          <w:sz w:val="24"/>
          <w:szCs w:val="24"/>
        </w:rPr>
        <w:t xml:space="preserve">en la producción de dicho metal existe la provisión  de insumos y servicios nacionales </w:t>
      </w:r>
      <w:r w:rsidR="005C7167" w:rsidRPr="008B4D5D">
        <w:rPr>
          <w:rFonts w:ascii="Garamond" w:hAnsi="Garamond" w:cs="Arial"/>
          <w:sz w:val="24"/>
          <w:szCs w:val="24"/>
        </w:rPr>
        <w:t xml:space="preserve">(eslabonamientos hacia atrás) </w:t>
      </w:r>
      <w:r w:rsidR="00E93B99" w:rsidRPr="008B4D5D">
        <w:rPr>
          <w:rFonts w:ascii="Garamond" w:hAnsi="Garamond" w:cs="Arial"/>
          <w:sz w:val="24"/>
          <w:szCs w:val="24"/>
        </w:rPr>
        <w:t>que crecen desde el 25% en los años 50, al  60% en los 90</w:t>
      </w:r>
      <w:r w:rsidR="006D662B">
        <w:rPr>
          <w:rFonts w:ascii="Garamond" w:hAnsi="Garamond" w:cs="Arial"/>
        </w:rPr>
        <w:t>.</w:t>
      </w:r>
      <w:r w:rsidR="00BF569F">
        <w:rPr>
          <w:rStyle w:val="Refdenotaalpie"/>
          <w:rFonts w:ascii="Garamond" w:hAnsi="Garamond" w:cs="Arial"/>
        </w:rPr>
        <w:footnoteReference w:id="19"/>
      </w:r>
      <w:r w:rsidR="000445BE">
        <w:rPr>
          <w:rStyle w:val="Refdenotaalpie"/>
          <w:rFonts w:ascii="Garamond" w:hAnsi="Garamond" w:cs="Arial"/>
        </w:rPr>
        <w:footnoteReference w:id="20"/>
      </w:r>
      <w:r w:rsidR="006D662B" w:rsidRPr="008B4D5D">
        <w:rPr>
          <w:rFonts w:ascii="Garamond" w:hAnsi="Garamond" w:cs="Arial"/>
          <w:sz w:val="24"/>
          <w:szCs w:val="24"/>
        </w:rPr>
        <w:t>En estos resultados ha sido relevante la labor ejercida por el Estado hacia los proveedores ofreciendo capacitación y promoviendo contactos con Codelco. Así, según el</w:t>
      </w:r>
      <w:r w:rsidR="00AC75A3" w:rsidRPr="008B4D5D">
        <w:rPr>
          <w:rFonts w:ascii="Garamond" w:hAnsi="Garamond" w:cs="Arial"/>
          <w:sz w:val="24"/>
          <w:szCs w:val="24"/>
        </w:rPr>
        <w:t xml:space="preserve">, </w:t>
      </w:r>
      <w:r w:rsidR="00FA700E" w:rsidRPr="008B4D5D">
        <w:rPr>
          <w:rFonts w:ascii="Garamond" w:eastAsia="Times New Roman" w:hAnsi="Garamond" w:cs="Arial"/>
          <w:sz w:val="24"/>
          <w:szCs w:val="24"/>
          <w:lang w:val="es-ES" w:eastAsia="es-ES"/>
        </w:rPr>
        <w:t>WorlEconomicForum</w:t>
      </w:r>
      <w:r w:rsidR="00FA700E" w:rsidRPr="008B4D5D">
        <w:rPr>
          <w:rStyle w:val="Refdenotaalpie"/>
          <w:lang w:val="es-ES" w:eastAsia="es-ES"/>
        </w:rPr>
        <w:footnoteReference w:id="21"/>
      </w:r>
      <w:r w:rsidR="00FA700E">
        <w:rPr>
          <w:rFonts w:ascii="Garamond" w:eastAsia="Times New Roman" w:hAnsi="Garamond" w:cs="Arial"/>
          <w:sz w:val="24"/>
          <w:szCs w:val="24"/>
          <w:lang w:val="es-ES" w:eastAsia="es-ES"/>
        </w:rPr>
        <w:t xml:space="preserve">, un </w:t>
      </w:r>
      <w:r w:rsidR="00AC75A3" w:rsidRPr="008B4D5D">
        <w:rPr>
          <w:rFonts w:ascii="Garamond" w:hAnsi="Garamond" w:cs="Arial"/>
          <w:sz w:val="24"/>
          <w:szCs w:val="24"/>
        </w:rPr>
        <w:t xml:space="preserve">conglomerado promovido en la región de Antofagasta </w:t>
      </w:r>
      <w:r w:rsidR="00FA700E" w:rsidRPr="008B4D5D">
        <w:rPr>
          <w:rFonts w:ascii="Garamond" w:hAnsi="Garamond" w:cs="Arial"/>
          <w:sz w:val="24"/>
          <w:szCs w:val="24"/>
        </w:rPr>
        <w:t>dio</w:t>
      </w:r>
      <w:r w:rsidR="00AC75A3" w:rsidRPr="008B4D5D">
        <w:rPr>
          <w:rFonts w:ascii="Garamond" w:hAnsi="Garamond" w:cs="Arial"/>
          <w:sz w:val="24"/>
          <w:szCs w:val="24"/>
        </w:rPr>
        <w:t xml:space="preserve"> como resultado que el 80% del abastec</w:t>
      </w:r>
      <w:r w:rsidR="00FA700E">
        <w:rPr>
          <w:rFonts w:ascii="Garamond" w:hAnsi="Garamond" w:cs="Arial"/>
          <w:sz w:val="24"/>
          <w:szCs w:val="24"/>
        </w:rPr>
        <w:t xml:space="preserve">imiento de una empresa de la gran minería en el 2004 </w:t>
      </w:r>
      <w:r w:rsidR="00AC75A3" w:rsidRPr="008B4D5D">
        <w:rPr>
          <w:rFonts w:ascii="Garamond" w:hAnsi="Garamond" w:cs="Arial"/>
          <w:sz w:val="24"/>
          <w:szCs w:val="24"/>
        </w:rPr>
        <w:t xml:space="preserve">provenía desde Chile, y casi el 50% de la misma región. </w:t>
      </w:r>
    </w:p>
    <w:p w:rsidR="00FA700E" w:rsidRPr="008B4D5D" w:rsidRDefault="00FA700E" w:rsidP="008B4D5D">
      <w:pPr>
        <w:autoSpaceDE w:val="0"/>
        <w:autoSpaceDN w:val="0"/>
        <w:adjustRightInd w:val="0"/>
        <w:spacing w:after="0" w:line="288" w:lineRule="auto"/>
        <w:jc w:val="both"/>
        <w:rPr>
          <w:rFonts w:ascii="Garamond" w:hAnsi="Garamond" w:cs="Arial"/>
          <w:sz w:val="24"/>
          <w:szCs w:val="24"/>
        </w:rPr>
      </w:pPr>
    </w:p>
    <w:p w:rsidR="00740F4C" w:rsidRPr="00BE32AE" w:rsidRDefault="00740F4C"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Otra actividad es la Construcción</w:t>
      </w:r>
      <w:r w:rsidR="000519E2" w:rsidRPr="00BE32AE">
        <w:rPr>
          <w:rFonts w:ascii="Garamond" w:hAnsi="Garamond" w:cs="Arial"/>
        </w:rPr>
        <w:t xml:space="preserve">, </w:t>
      </w:r>
      <w:r w:rsidR="00133C28" w:rsidRPr="00BE32AE">
        <w:rPr>
          <w:rFonts w:ascii="Garamond" w:hAnsi="Garamond" w:cs="Arial"/>
        </w:rPr>
        <w:t xml:space="preserve">con el </w:t>
      </w:r>
      <w:r w:rsidR="000519E2" w:rsidRPr="00BE32AE">
        <w:rPr>
          <w:rFonts w:ascii="Garamond" w:hAnsi="Garamond" w:cs="Arial"/>
        </w:rPr>
        <w:t>7,6%</w:t>
      </w:r>
      <w:r w:rsidR="009B0E6C" w:rsidRPr="00BE32AE">
        <w:rPr>
          <w:rFonts w:ascii="Garamond" w:hAnsi="Garamond" w:cs="Arial"/>
        </w:rPr>
        <w:t xml:space="preserve"> del PIB</w:t>
      </w:r>
      <w:r w:rsidR="00133C28" w:rsidRPr="00BE32AE">
        <w:rPr>
          <w:rFonts w:ascii="Garamond" w:hAnsi="Garamond" w:cs="Arial"/>
        </w:rPr>
        <w:t xml:space="preserve">, que varía su participación en regiones, </w:t>
      </w:r>
      <w:r w:rsidR="009B0E6C" w:rsidRPr="00BE32AE">
        <w:rPr>
          <w:rFonts w:ascii="Garamond" w:hAnsi="Garamond" w:cs="Arial"/>
        </w:rPr>
        <w:t xml:space="preserve">desde </w:t>
      </w:r>
      <w:r w:rsidR="00133C28" w:rsidRPr="00BE32AE">
        <w:rPr>
          <w:rFonts w:ascii="Garamond" w:hAnsi="Garamond" w:cs="Arial"/>
        </w:rPr>
        <w:t xml:space="preserve">22,6%, </w:t>
      </w:r>
      <w:r w:rsidR="000519E2" w:rsidRPr="00BE32AE">
        <w:rPr>
          <w:rFonts w:ascii="Garamond" w:hAnsi="Garamond" w:cs="Arial"/>
        </w:rPr>
        <w:t>en Atacama, (y un aporte al PIB</w:t>
      </w:r>
      <w:r w:rsidR="00133C28" w:rsidRPr="00BE32AE">
        <w:rPr>
          <w:rFonts w:ascii="Garamond" w:hAnsi="Garamond" w:cs="Arial"/>
        </w:rPr>
        <w:t xml:space="preserve"> del sector, de7,8%)</w:t>
      </w:r>
      <w:r w:rsidR="009B0E6C" w:rsidRPr="00BE32AE">
        <w:rPr>
          <w:rFonts w:ascii="Garamond" w:hAnsi="Garamond" w:cs="Arial"/>
        </w:rPr>
        <w:t>; y 20,7% en Aysén (1,3%); hasta un 4,5% en Los Ríos (0,7%). En la reg</w:t>
      </w:r>
      <w:r w:rsidR="00255102" w:rsidRPr="00BE32AE">
        <w:rPr>
          <w:rFonts w:ascii="Garamond" w:hAnsi="Garamond" w:cs="Arial"/>
        </w:rPr>
        <w:t>ió</w:t>
      </w:r>
      <w:r w:rsidR="009B0E6C" w:rsidRPr="00BE32AE">
        <w:rPr>
          <w:rFonts w:ascii="Garamond" w:hAnsi="Garamond" w:cs="Arial"/>
        </w:rPr>
        <w:t>n de Santiago, con un 4,6% de participación</w:t>
      </w:r>
      <w:r w:rsidR="00255102" w:rsidRPr="00BE32AE">
        <w:rPr>
          <w:rFonts w:ascii="Garamond" w:hAnsi="Garamond" w:cs="Arial"/>
        </w:rPr>
        <w:t>,</w:t>
      </w:r>
      <w:r w:rsidR="009B0E6C" w:rsidRPr="00BE32AE">
        <w:rPr>
          <w:rFonts w:ascii="Garamond" w:hAnsi="Garamond" w:cs="Arial"/>
        </w:rPr>
        <w:t xml:space="preserve"> aporta al PIB sectorial el </w:t>
      </w:r>
      <w:r w:rsidR="00255102" w:rsidRPr="00BE32AE">
        <w:rPr>
          <w:rFonts w:ascii="Garamond" w:hAnsi="Garamond" w:cs="Arial"/>
        </w:rPr>
        <w:t xml:space="preserve">29%. Y en las regiones mineras, la participación se sitúa entre 22,6% y 7,9%, con una mediana de 10,3%, y el aporte al producto sectorial es de 29,2%, superando a la contribución de esas regiones al </w:t>
      </w:r>
      <w:r w:rsidR="00C44043" w:rsidRPr="00BE32AE">
        <w:rPr>
          <w:rFonts w:ascii="Garamond" w:hAnsi="Garamond" w:cs="Arial"/>
        </w:rPr>
        <w:t xml:space="preserve">PIB regionalizado, lo que indica </w:t>
      </w:r>
      <w:r w:rsidR="0028325F">
        <w:rPr>
          <w:rFonts w:ascii="Garamond" w:hAnsi="Garamond" w:cs="Arial"/>
        </w:rPr>
        <w:t xml:space="preserve">la presencia de </w:t>
      </w:r>
      <w:r w:rsidR="00C44043" w:rsidRPr="00BE32AE">
        <w:rPr>
          <w:rFonts w:ascii="Garamond" w:hAnsi="Garamond" w:cs="Arial"/>
        </w:rPr>
        <w:t>grandes inversiones mineras y energéticas</w:t>
      </w:r>
      <w:r w:rsidR="0028325F">
        <w:rPr>
          <w:rFonts w:ascii="Garamond" w:hAnsi="Garamond" w:cs="Arial"/>
        </w:rPr>
        <w:t>, que se revisa en las páginas siguientes.</w:t>
      </w:r>
    </w:p>
    <w:p w:rsidR="00C44043" w:rsidRPr="00BE32AE" w:rsidRDefault="00C44043"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Una tercera actividad es Electricidad, gas y agua, que representa el 3,6% del PIB, y las participaciones regionales varían entre 19,4% y 0,01%, con una mediana de 3,1%. Las regiones mineras </w:t>
      </w:r>
      <w:r w:rsidR="007F06B5" w:rsidRPr="00BE32AE">
        <w:rPr>
          <w:rFonts w:ascii="Garamond" w:hAnsi="Garamond" w:cs="Arial"/>
        </w:rPr>
        <w:t>contribuyen con 15,7% del PIB sectorial</w:t>
      </w:r>
      <w:r w:rsidR="00E60D12">
        <w:rPr>
          <w:rFonts w:ascii="Garamond" w:hAnsi="Garamond" w:cs="Arial"/>
        </w:rPr>
        <w:t>; y la especialización, según el Indice B</w:t>
      </w:r>
      <w:r w:rsidR="0028325F">
        <w:rPr>
          <w:rFonts w:ascii="Garamond" w:hAnsi="Garamond" w:cs="Arial"/>
        </w:rPr>
        <w:t>-</w:t>
      </w:r>
      <w:r w:rsidR="00E60D12">
        <w:rPr>
          <w:rFonts w:ascii="Garamond" w:hAnsi="Garamond" w:cs="Arial"/>
        </w:rPr>
        <w:t xml:space="preserve">H, es cercano a 2 en Antofagasta y Atacama, levemente superior a 1, en Coquimbo, y menor que 1 en Tarapacá. </w:t>
      </w:r>
    </w:p>
    <w:p w:rsidR="006B1365" w:rsidRPr="00BE32AE" w:rsidRDefault="00740F4C"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Y a nivel de Sector Terciario, el Comercio</w:t>
      </w:r>
      <w:r w:rsidR="00984BFF" w:rsidRPr="00BE32AE">
        <w:rPr>
          <w:rFonts w:ascii="Garamond" w:hAnsi="Garamond" w:cs="Arial"/>
        </w:rPr>
        <w:t>, restaurantes y hoteles</w:t>
      </w:r>
      <w:r w:rsidR="006B04F1">
        <w:rPr>
          <w:rFonts w:ascii="Garamond" w:hAnsi="Garamond" w:cs="Arial"/>
        </w:rPr>
        <w:t xml:space="preserve"> </w:t>
      </w:r>
      <w:r w:rsidR="00BC4112">
        <w:rPr>
          <w:rFonts w:ascii="Garamond" w:hAnsi="Garamond" w:cs="Arial"/>
        </w:rPr>
        <w:t xml:space="preserve">tiene </w:t>
      </w:r>
      <w:r w:rsidR="00F978E8" w:rsidRPr="00BE32AE">
        <w:rPr>
          <w:rFonts w:ascii="Garamond" w:hAnsi="Garamond" w:cs="Arial"/>
        </w:rPr>
        <w:t>una participación en el PIB de 11,7%,</w:t>
      </w:r>
      <w:r w:rsidR="00BC4112">
        <w:rPr>
          <w:rFonts w:ascii="Garamond" w:hAnsi="Garamond" w:cs="Arial"/>
        </w:rPr>
        <w:t xml:space="preserve">con </w:t>
      </w:r>
      <w:r w:rsidRPr="00BE32AE">
        <w:rPr>
          <w:rFonts w:ascii="Garamond" w:hAnsi="Garamond" w:cs="Arial"/>
        </w:rPr>
        <w:t xml:space="preserve">mayor importancia en </w:t>
      </w:r>
      <w:r w:rsidR="00186F52" w:rsidRPr="00BE32AE">
        <w:rPr>
          <w:rFonts w:ascii="Garamond" w:hAnsi="Garamond" w:cs="Arial"/>
        </w:rPr>
        <w:t xml:space="preserve">Santiago (15,8%), </w:t>
      </w:r>
      <w:r w:rsidR="00BC4112">
        <w:rPr>
          <w:rFonts w:ascii="Garamond" w:hAnsi="Garamond" w:cs="Arial"/>
        </w:rPr>
        <w:t xml:space="preserve">y </w:t>
      </w:r>
      <w:r w:rsidR="00186F52" w:rsidRPr="00BE32AE">
        <w:rPr>
          <w:rFonts w:ascii="Garamond" w:hAnsi="Garamond" w:cs="Arial"/>
        </w:rPr>
        <w:t xml:space="preserve">con una importante contribución al PIB de la actividad en el país (65,5%). </w:t>
      </w:r>
      <w:r w:rsidR="00BC4112">
        <w:rPr>
          <w:rFonts w:ascii="Garamond" w:hAnsi="Garamond" w:cs="Arial"/>
        </w:rPr>
        <w:t xml:space="preserve">A continuación se ubica Tarapacá (14,9%) </w:t>
      </w:r>
      <w:r w:rsidR="00BC4112" w:rsidRPr="00BE32AE">
        <w:rPr>
          <w:rFonts w:ascii="Garamond" w:hAnsi="Garamond" w:cs="Arial"/>
        </w:rPr>
        <w:t>derivado del comercio limítrofe por la Zona Franca</w:t>
      </w:r>
      <w:r w:rsidR="00854DE4">
        <w:rPr>
          <w:rFonts w:ascii="Garamond" w:hAnsi="Garamond" w:cs="Arial"/>
        </w:rPr>
        <w:t>,</w:t>
      </w:r>
      <w:r w:rsidR="00854DE4" w:rsidRPr="00BE32AE">
        <w:rPr>
          <w:rFonts w:ascii="Garamond" w:hAnsi="Garamond" w:cs="Arial"/>
        </w:rPr>
        <w:t>y su contribución al PIB sectorial es de 3,7%</w:t>
      </w:r>
      <w:r w:rsidR="00854DE4">
        <w:rPr>
          <w:rFonts w:ascii="Garamond" w:hAnsi="Garamond" w:cs="Arial"/>
        </w:rPr>
        <w:t xml:space="preserve">. El resto de </w:t>
      </w:r>
      <w:r w:rsidR="00D9466A" w:rsidRPr="00BE32AE">
        <w:rPr>
          <w:rFonts w:ascii="Garamond" w:hAnsi="Garamond" w:cs="Arial"/>
        </w:rPr>
        <w:t xml:space="preserve">las regiones mineras participan en </w:t>
      </w:r>
      <w:r w:rsidR="00BC4112">
        <w:rPr>
          <w:rFonts w:ascii="Garamond" w:hAnsi="Garamond" w:cs="Arial"/>
        </w:rPr>
        <w:t xml:space="preserve">menor </w:t>
      </w:r>
      <w:r w:rsidR="00D9466A" w:rsidRPr="00BE32AE">
        <w:rPr>
          <w:rFonts w:ascii="Garamond" w:hAnsi="Garamond" w:cs="Arial"/>
        </w:rPr>
        <w:t xml:space="preserve">nivel </w:t>
      </w:r>
      <w:r w:rsidR="00BC4112">
        <w:rPr>
          <w:rFonts w:ascii="Garamond" w:hAnsi="Garamond" w:cs="Arial"/>
        </w:rPr>
        <w:t>que e</w:t>
      </w:r>
      <w:r w:rsidR="00D9466A" w:rsidRPr="00BE32AE">
        <w:rPr>
          <w:rFonts w:ascii="Garamond" w:hAnsi="Garamond" w:cs="Arial"/>
        </w:rPr>
        <w:t>l promedio del país</w:t>
      </w:r>
      <w:r w:rsidR="00854DE4">
        <w:rPr>
          <w:rFonts w:ascii="Garamond" w:hAnsi="Garamond" w:cs="Arial"/>
        </w:rPr>
        <w:t xml:space="preserve">, y también, </w:t>
      </w:r>
      <w:r w:rsidR="006B1365" w:rsidRPr="00BE32AE">
        <w:rPr>
          <w:rFonts w:ascii="Garamond" w:hAnsi="Garamond" w:cs="Arial"/>
        </w:rPr>
        <w:t xml:space="preserve"> en menor porcentaje, que su aporte total al </w:t>
      </w:r>
      <w:r w:rsidR="00854DE4">
        <w:rPr>
          <w:rFonts w:ascii="Garamond" w:hAnsi="Garamond" w:cs="Arial"/>
        </w:rPr>
        <w:t>producto</w:t>
      </w:r>
      <w:r w:rsidR="006B1365" w:rsidRPr="00BE32AE">
        <w:rPr>
          <w:rFonts w:ascii="Garamond" w:hAnsi="Garamond" w:cs="Arial"/>
        </w:rPr>
        <w:t>; destacando Antofagasta y Atacama, que tienen las menores participaciones en el país.  Esto se puede explicar por una gran conmutación laboral</w:t>
      </w:r>
      <w:r w:rsidR="006B1365" w:rsidRPr="00BE32AE">
        <w:rPr>
          <w:rStyle w:val="Refdenotaalpie"/>
          <w:rFonts w:ascii="Garamond" w:hAnsi="Garamond" w:cs="Arial"/>
        </w:rPr>
        <w:footnoteReference w:id="22"/>
      </w:r>
      <w:r w:rsidR="00F44B47">
        <w:rPr>
          <w:rFonts w:ascii="Garamond" w:hAnsi="Garamond" w:cs="Arial"/>
        </w:rPr>
        <w:t xml:space="preserve"> con otras regiones.</w:t>
      </w:r>
    </w:p>
    <w:p w:rsidR="00740F4C" w:rsidRPr="00BE32AE" w:rsidRDefault="00984BFF"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En </w:t>
      </w:r>
      <w:r w:rsidR="00740F4C" w:rsidRPr="00BE32AE">
        <w:rPr>
          <w:rFonts w:ascii="Garamond" w:hAnsi="Garamond" w:cs="Arial"/>
        </w:rPr>
        <w:t>Transporte y Comunicaciones</w:t>
      </w:r>
      <w:r w:rsidR="00F978E8" w:rsidRPr="00BE32AE">
        <w:rPr>
          <w:rFonts w:ascii="Garamond" w:hAnsi="Garamond" w:cs="Arial"/>
        </w:rPr>
        <w:t>, su aporte al PIB es de 7,1%,</w:t>
      </w:r>
      <w:r w:rsidR="00854DE4">
        <w:rPr>
          <w:rFonts w:ascii="Garamond" w:hAnsi="Garamond" w:cs="Arial"/>
        </w:rPr>
        <w:t xml:space="preserve">y </w:t>
      </w:r>
      <w:r w:rsidR="00F978E8" w:rsidRPr="00BE32AE">
        <w:rPr>
          <w:rFonts w:ascii="Garamond" w:hAnsi="Garamond" w:cs="Arial"/>
        </w:rPr>
        <w:t xml:space="preserve">su participación en regiones, fluctúa entre 14% y 4,5%, con una mediana de 6,9%. </w:t>
      </w:r>
      <w:r w:rsidR="00854DE4">
        <w:rPr>
          <w:rFonts w:ascii="Garamond" w:hAnsi="Garamond" w:cs="Arial"/>
        </w:rPr>
        <w:t>L</w:t>
      </w:r>
      <w:r w:rsidR="003C765C" w:rsidRPr="00BE32AE">
        <w:rPr>
          <w:rFonts w:ascii="Garamond" w:hAnsi="Garamond" w:cs="Arial"/>
        </w:rPr>
        <w:t>as regiones mineras se ubican por debajo de ese promedio, en los últimos lugares, y con una contribución de 13,7% al PIB</w:t>
      </w:r>
      <w:r w:rsidR="00F44B47">
        <w:rPr>
          <w:rFonts w:ascii="Garamond" w:hAnsi="Garamond" w:cs="Arial"/>
        </w:rPr>
        <w:t xml:space="preserve"> sectorial</w:t>
      </w:r>
      <w:r w:rsidR="003C765C" w:rsidRPr="00BE32AE">
        <w:rPr>
          <w:rFonts w:ascii="Garamond" w:hAnsi="Garamond" w:cs="Arial"/>
        </w:rPr>
        <w:t>.</w:t>
      </w:r>
      <w:r w:rsidR="006B04F1">
        <w:rPr>
          <w:rFonts w:ascii="Garamond" w:hAnsi="Garamond" w:cs="Arial"/>
        </w:rPr>
        <w:t xml:space="preserve"> </w:t>
      </w:r>
      <w:r w:rsidR="003C765C" w:rsidRPr="00BE32AE">
        <w:rPr>
          <w:rFonts w:ascii="Garamond" w:hAnsi="Garamond" w:cs="Arial"/>
        </w:rPr>
        <w:t>Por otra parte, l</w:t>
      </w:r>
      <w:r w:rsidR="00740F4C" w:rsidRPr="00BE32AE">
        <w:rPr>
          <w:rFonts w:ascii="Garamond" w:hAnsi="Garamond" w:cs="Arial"/>
        </w:rPr>
        <w:t>os Servicios Financieros</w:t>
      </w:r>
      <w:r w:rsidR="003C765C" w:rsidRPr="00BE32AE">
        <w:rPr>
          <w:rFonts w:ascii="Garamond" w:hAnsi="Garamond" w:cs="Arial"/>
        </w:rPr>
        <w:t xml:space="preserve"> y empresariales</w:t>
      </w:r>
      <w:r w:rsidR="006B04F1">
        <w:rPr>
          <w:rFonts w:ascii="Garamond" w:hAnsi="Garamond" w:cs="Arial"/>
        </w:rPr>
        <w:t xml:space="preserve"> </w:t>
      </w:r>
      <w:r w:rsidR="003C765C" w:rsidRPr="00BE32AE">
        <w:rPr>
          <w:rFonts w:ascii="Garamond" w:hAnsi="Garamond" w:cs="Arial"/>
        </w:rPr>
        <w:t>determinan el 20% del PIB</w:t>
      </w:r>
      <w:r w:rsidR="006719AE" w:rsidRPr="00BE32AE">
        <w:rPr>
          <w:rFonts w:ascii="Garamond" w:hAnsi="Garamond" w:cs="Arial"/>
        </w:rPr>
        <w:t xml:space="preserve">, con </w:t>
      </w:r>
      <w:r w:rsidR="00740F4C" w:rsidRPr="00BE32AE">
        <w:rPr>
          <w:rFonts w:ascii="Garamond" w:hAnsi="Garamond" w:cs="Arial"/>
        </w:rPr>
        <w:t xml:space="preserve">una alta ponderación </w:t>
      </w:r>
      <w:r w:rsidR="00F44B47">
        <w:rPr>
          <w:rFonts w:ascii="Garamond" w:hAnsi="Garamond" w:cs="Arial"/>
        </w:rPr>
        <w:t xml:space="preserve">de participación </w:t>
      </w:r>
      <w:r w:rsidR="00740F4C" w:rsidRPr="00BE32AE">
        <w:rPr>
          <w:rFonts w:ascii="Garamond" w:hAnsi="Garamond" w:cs="Arial"/>
        </w:rPr>
        <w:t>en Santiago (</w:t>
      </w:r>
      <w:r w:rsidR="003C765C" w:rsidRPr="00BE32AE">
        <w:rPr>
          <w:rFonts w:ascii="Garamond" w:hAnsi="Garamond" w:cs="Arial"/>
        </w:rPr>
        <w:t>36</w:t>
      </w:r>
      <w:r w:rsidR="00740F4C" w:rsidRPr="00BE32AE">
        <w:rPr>
          <w:rFonts w:ascii="Garamond" w:hAnsi="Garamond" w:cs="Arial"/>
        </w:rPr>
        <w:t>%)</w:t>
      </w:r>
      <w:r w:rsidR="003C765C" w:rsidRPr="00BE32AE">
        <w:rPr>
          <w:rFonts w:ascii="Garamond" w:hAnsi="Garamond" w:cs="Arial"/>
        </w:rPr>
        <w:t xml:space="preserve">, </w:t>
      </w:r>
      <w:r w:rsidR="00F44B47">
        <w:rPr>
          <w:rFonts w:ascii="Garamond" w:hAnsi="Garamond" w:cs="Arial"/>
        </w:rPr>
        <w:t xml:space="preserve">y </w:t>
      </w:r>
      <w:r w:rsidR="003C765C" w:rsidRPr="00BE32AE">
        <w:rPr>
          <w:rFonts w:ascii="Garamond" w:hAnsi="Garamond" w:cs="Arial"/>
        </w:rPr>
        <w:t xml:space="preserve">con un aporte al PIB de la actividad de 85%, que es derivado del centralismo del país. </w:t>
      </w:r>
      <w:r w:rsidR="00740F4C" w:rsidRPr="00BE32AE">
        <w:rPr>
          <w:rFonts w:ascii="Garamond" w:hAnsi="Garamond" w:cs="Arial"/>
        </w:rPr>
        <w:t>Además, los Servicios Personales</w:t>
      </w:r>
      <w:r w:rsidR="006719AE" w:rsidRPr="00BE32AE">
        <w:rPr>
          <w:rFonts w:ascii="Garamond" w:hAnsi="Garamond" w:cs="Arial"/>
        </w:rPr>
        <w:t>, son el 11,5% del PIB,</w:t>
      </w:r>
      <w:r w:rsidR="00C92D32" w:rsidRPr="00BE32AE">
        <w:rPr>
          <w:rFonts w:ascii="Garamond" w:hAnsi="Garamond" w:cs="Arial"/>
        </w:rPr>
        <w:t xml:space="preserve">y su </w:t>
      </w:r>
      <w:r w:rsidR="00740F4C" w:rsidRPr="00BE32AE">
        <w:rPr>
          <w:rFonts w:ascii="Garamond" w:hAnsi="Garamond" w:cs="Arial"/>
        </w:rPr>
        <w:t xml:space="preserve">presencia en regiones </w:t>
      </w:r>
      <w:r w:rsidR="00C92D32" w:rsidRPr="00BE32AE">
        <w:rPr>
          <w:rFonts w:ascii="Garamond" w:hAnsi="Garamond" w:cs="Arial"/>
        </w:rPr>
        <w:t xml:space="preserve">varía entre 19% y 3,9%; en donde las regiones mineras se sitúan en los últimos </w:t>
      </w:r>
      <w:r w:rsidR="00DD6949" w:rsidRPr="00BE32AE">
        <w:rPr>
          <w:rFonts w:ascii="Garamond" w:hAnsi="Garamond" w:cs="Arial"/>
        </w:rPr>
        <w:t xml:space="preserve">lugares. </w:t>
      </w:r>
      <w:r w:rsidR="00740F4C" w:rsidRPr="00BE32AE">
        <w:rPr>
          <w:rFonts w:ascii="Garamond" w:hAnsi="Garamond" w:cs="Arial"/>
        </w:rPr>
        <w:t>Y finalmente la Administración Pública</w:t>
      </w:r>
      <w:r w:rsidR="00FF5EAB">
        <w:rPr>
          <w:rFonts w:ascii="Garamond" w:hAnsi="Garamond" w:cs="Arial"/>
        </w:rPr>
        <w:t xml:space="preserve">, que corresponde a las actividades </w:t>
      </w:r>
      <w:r w:rsidR="00AB711C">
        <w:rPr>
          <w:rFonts w:ascii="Garamond" w:hAnsi="Garamond" w:cs="Arial"/>
        </w:rPr>
        <w:t>del gobi</w:t>
      </w:r>
      <w:r w:rsidR="00FF5EAB">
        <w:rPr>
          <w:rFonts w:ascii="Garamond" w:hAnsi="Garamond" w:cs="Arial"/>
        </w:rPr>
        <w:t xml:space="preserve">erno central, municipalidades e instituciones de previsión, </w:t>
      </w:r>
      <w:r w:rsidR="00740F4C" w:rsidRPr="00BE32AE">
        <w:rPr>
          <w:rFonts w:ascii="Garamond" w:hAnsi="Garamond" w:cs="Arial"/>
        </w:rPr>
        <w:t xml:space="preserve">es preponderante en las regiones australes del </w:t>
      </w:r>
      <w:r w:rsidR="00911BA8" w:rsidRPr="00BE32AE">
        <w:rPr>
          <w:rFonts w:ascii="Garamond" w:hAnsi="Garamond" w:cs="Arial"/>
        </w:rPr>
        <w:t xml:space="preserve">Norte y del </w:t>
      </w:r>
      <w:r w:rsidR="00740F4C" w:rsidRPr="00BE32AE">
        <w:rPr>
          <w:rFonts w:ascii="Garamond" w:hAnsi="Garamond" w:cs="Arial"/>
        </w:rPr>
        <w:t>Sur</w:t>
      </w:r>
      <w:r w:rsidR="00AB711C">
        <w:rPr>
          <w:rFonts w:ascii="Garamond" w:hAnsi="Garamond" w:cs="Arial"/>
        </w:rPr>
        <w:t xml:space="preserve">; en tanto </w:t>
      </w:r>
      <w:r w:rsidR="00D06A40" w:rsidRPr="00BE32AE">
        <w:rPr>
          <w:rFonts w:ascii="Garamond" w:hAnsi="Garamond" w:cs="Arial"/>
        </w:rPr>
        <w:t xml:space="preserve">las regiones mineras se ubican </w:t>
      </w:r>
      <w:r w:rsidR="00F978E8" w:rsidRPr="00BE32AE">
        <w:rPr>
          <w:rFonts w:ascii="Garamond" w:hAnsi="Garamond" w:cs="Arial"/>
        </w:rPr>
        <w:t xml:space="preserve">principalmente </w:t>
      </w:r>
      <w:r w:rsidR="00D06A40" w:rsidRPr="00BE32AE">
        <w:rPr>
          <w:rFonts w:ascii="Garamond" w:hAnsi="Garamond" w:cs="Arial"/>
        </w:rPr>
        <w:t xml:space="preserve">en los últimos lugares de participación en el país. </w:t>
      </w:r>
    </w:p>
    <w:p w:rsidR="00740F4C" w:rsidRPr="00BE32AE" w:rsidRDefault="00740F4C" w:rsidP="000C1827">
      <w:pPr>
        <w:pStyle w:val="Prrafodelista"/>
        <w:spacing w:after="240" w:line="288" w:lineRule="auto"/>
        <w:ind w:left="0"/>
        <w:rPr>
          <w:rFonts w:ascii="Garamond" w:hAnsi="Garamond"/>
          <w:sz w:val="24"/>
          <w:szCs w:val="24"/>
          <w:lang w:val="es-ES"/>
        </w:rPr>
      </w:pPr>
    </w:p>
    <w:p w:rsidR="00740F4C" w:rsidRPr="00BE32AE" w:rsidRDefault="00740F4C" w:rsidP="000C1827">
      <w:pPr>
        <w:pStyle w:val="NormalWeb"/>
        <w:numPr>
          <w:ilvl w:val="0"/>
          <w:numId w:val="8"/>
        </w:numPr>
        <w:tabs>
          <w:tab w:val="left" w:pos="567"/>
        </w:tabs>
        <w:spacing w:before="0" w:beforeAutospacing="0" w:after="240" w:afterAutospacing="0" w:line="288" w:lineRule="auto"/>
        <w:ind w:left="0" w:firstLine="0"/>
        <w:jc w:val="both"/>
        <w:rPr>
          <w:rFonts w:ascii="Garamond" w:hAnsi="Garamond" w:cs="Arial"/>
          <w:b/>
        </w:rPr>
      </w:pPr>
      <w:r w:rsidRPr="00BE32AE">
        <w:rPr>
          <w:rFonts w:ascii="Garamond" w:hAnsi="Garamond" w:cs="Arial"/>
          <w:b/>
        </w:rPr>
        <w:t>Empleo</w:t>
      </w:r>
    </w:p>
    <w:p w:rsidR="00055725" w:rsidRPr="00BE32AE" w:rsidRDefault="00911BA8"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La </w:t>
      </w:r>
      <w:r w:rsidR="00740F4C" w:rsidRPr="00BE32AE">
        <w:rPr>
          <w:rFonts w:ascii="Garamond" w:hAnsi="Garamond" w:cs="Arial"/>
        </w:rPr>
        <w:t xml:space="preserve">desocupación en el país </w:t>
      </w:r>
      <w:r w:rsidRPr="00BE32AE">
        <w:rPr>
          <w:rFonts w:ascii="Garamond" w:hAnsi="Garamond" w:cs="Arial"/>
        </w:rPr>
        <w:t xml:space="preserve">ha </w:t>
      </w:r>
      <w:r w:rsidR="00F67147" w:rsidRPr="00BE32AE">
        <w:rPr>
          <w:rFonts w:ascii="Garamond" w:hAnsi="Garamond" w:cs="Arial"/>
        </w:rPr>
        <w:t xml:space="preserve">variado desde </w:t>
      </w:r>
      <w:r w:rsidR="00A10B8A" w:rsidRPr="00BE32AE">
        <w:rPr>
          <w:rFonts w:ascii="Garamond" w:hAnsi="Garamond" w:cs="Arial"/>
        </w:rPr>
        <w:t>12,1</w:t>
      </w:r>
      <w:r w:rsidR="00F67147" w:rsidRPr="00BE32AE">
        <w:rPr>
          <w:rFonts w:ascii="Garamond" w:hAnsi="Garamond" w:cs="Arial"/>
        </w:rPr>
        <w:t xml:space="preserve">%, en 1986, a </w:t>
      </w:r>
      <w:r w:rsidR="00A10B8A" w:rsidRPr="00BE32AE">
        <w:rPr>
          <w:rFonts w:ascii="Garamond" w:hAnsi="Garamond" w:cs="Arial"/>
        </w:rPr>
        <w:t>6,4</w:t>
      </w:r>
      <w:r w:rsidR="00F67147" w:rsidRPr="00BE32AE">
        <w:rPr>
          <w:rFonts w:ascii="Garamond" w:hAnsi="Garamond" w:cs="Arial"/>
        </w:rPr>
        <w:t>% en el año 2012.</w:t>
      </w:r>
      <w:r w:rsidR="00740F4C" w:rsidRPr="00BE32AE">
        <w:rPr>
          <w:rFonts w:ascii="Garamond" w:hAnsi="Garamond" w:cs="Arial"/>
        </w:rPr>
        <w:t xml:space="preserve"> (</w:t>
      </w:r>
      <w:r w:rsidR="00740F4C" w:rsidRPr="00665BDA">
        <w:rPr>
          <w:rFonts w:ascii="Garamond" w:hAnsi="Garamond" w:cs="Arial"/>
          <w:b/>
        </w:rPr>
        <w:t>Cuadro</w:t>
      </w:r>
      <w:r w:rsidR="000501E8" w:rsidRPr="00665BDA">
        <w:rPr>
          <w:rFonts w:ascii="Garamond" w:hAnsi="Garamond" w:cs="Arial"/>
          <w:b/>
        </w:rPr>
        <w:t xml:space="preserve"> x</w:t>
      </w:r>
      <w:r w:rsidR="00F67147" w:rsidRPr="00BE32AE">
        <w:rPr>
          <w:rFonts w:ascii="Garamond" w:hAnsi="Garamond" w:cs="Arial"/>
          <w:b/>
        </w:rPr>
        <w:t>)</w:t>
      </w:r>
      <w:r w:rsidR="00740F4C" w:rsidRPr="00BE32AE">
        <w:rPr>
          <w:rFonts w:ascii="Garamond" w:hAnsi="Garamond" w:cs="Arial"/>
        </w:rPr>
        <w:t xml:space="preserve">  Las mayores </w:t>
      </w:r>
      <w:r w:rsidR="00A10B8A" w:rsidRPr="00BE32AE">
        <w:rPr>
          <w:rFonts w:ascii="Garamond" w:hAnsi="Garamond" w:cs="Arial"/>
        </w:rPr>
        <w:t xml:space="preserve">reducciones </w:t>
      </w:r>
      <w:r w:rsidR="00F67147" w:rsidRPr="00BE32AE">
        <w:rPr>
          <w:rFonts w:ascii="Garamond" w:hAnsi="Garamond" w:cs="Arial"/>
        </w:rPr>
        <w:t xml:space="preserve">de </w:t>
      </w:r>
      <w:r w:rsidR="00740F4C" w:rsidRPr="00BE32AE">
        <w:rPr>
          <w:rFonts w:ascii="Garamond" w:hAnsi="Garamond" w:cs="Arial"/>
        </w:rPr>
        <w:t xml:space="preserve">tasas se producen en </w:t>
      </w:r>
      <w:r w:rsidR="00A10B8A" w:rsidRPr="00BE32AE">
        <w:rPr>
          <w:rFonts w:ascii="Garamond" w:hAnsi="Garamond" w:cs="Arial"/>
        </w:rPr>
        <w:t xml:space="preserve">3 de las 4 regiones mineras, que </w:t>
      </w:r>
      <w:r w:rsidR="00055725" w:rsidRPr="00BE32AE">
        <w:rPr>
          <w:rFonts w:ascii="Garamond" w:hAnsi="Garamond" w:cs="Arial"/>
        </w:rPr>
        <w:t xml:space="preserve">son </w:t>
      </w:r>
      <w:r w:rsidR="00A10B8A" w:rsidRPr="00BE32AE">
        <w:rPr>
          <w:rFonts w:ascii="Garamond" w:hAnsi="Garamond" w:cs="Arial"/>
        </w:rPr>
        <w:t>Coquimbo, Tarapacá y Antofagasta, y en Santiago,</w:t>
      </w:r>
      <w:r w:rsidR="00740F4C" w:rsidRPr="00BE32AE">
        <w:rPr>
          <w:rFonts w:ascii="Garamond" w:hAnsi="Garamond" w:cs="Arial"/>
        </w:rPr>
        <w:t xml:space="preserve"> con </w:t>
      </w:r>
      <w:r w:rsidR="00A10B8A" w:rsidRPr="00BE32AE">
        <w:rPr>
          <w:rFonts w:ascii="Garamond" w:hAnsi="Garamond" w:cs="Arial"/>
        </w:rPr>
        <w:t>10,2, 8,7,</w:t>
      </w:r>
      <w:r w:rsidR="00A83B89">
        <w:rPr>
          <w:rFonts w:ascii="Garamond" w:hAnsi="Garamond" w:cs="Arial"/>
        </w:rPr>
        <w:t xml:space="preserve"> </w:t>
      </w:r>
      <w:r w:rsidR="00A10B8A" w:rsidRPr="00BE32AE">
        <w:rPr>
          <w:rFonts w:ascii="Garamond" w:hAnsi="Garamond" w:cs="Arial"/>
        </w:rPr>
        <w:t>7,7 y 8,7 puntos porcentuales, respectivamente. L</w:t>
      </w:r>
      <w:r w:rsidR="00740F4C" w:rsidRPr="00BE32AE">
        <w:rPr>
          <w:rFonts w:ascii="Garamond" w:hAnsi="Garamond" w:cs="Arial"/>
        </w:rPr>
        <w:t xml:space="preserve">as menores </w:t>
      </w:r>
      <w:r w:rsidR="00F67147" w:rsidRPr="00BE32AE">
        <w:rPr>
          <w:rFonts w:ascii="Garamond" w:hAnsi="Garamond" w:cs="Arial"/>
        </w:rPr>
        <w:t xml:space="preserve">reducciones </w:t>
      </w:r>
      <w:r w:rsidR="00A10B8A" w:rsidRPr="00BE32AE">
        <w:rPr>
          <w:rFonts w:ascii="Garamond" w:hAnsi="Garamond" w:cs="Arial"/>
        </w:rPr>
        <w:t>son en Biobío y La Araucanía, en 0,7 pp; y crece 1,1 pp en Aysén</w:t>
      </w:r>
      <w:r w:rsidR="00055725" w:rsidRPr="00BE32AE">
        <w:rPr>
          <w:rFonts w:ascii="Garamond" w:hAnsi="Garamond" w:cs="Arial"/>
        </w:rPr>
        <w:t xml:space="preserve">, pero </w:t>
      </w:r>
      <w:r w:rsidR="000501E8" w:rsidRPr="00BE32AE">
        <w:rPr>
          <w:rFonts w:ascii="Garamond" w:hAnsi="Garamond" w:cs="Arial"/>
        </w:rPr>
        <w:t>aun</w:t>
      </w:r>
      <w:r w:rsidR="00055725" w:rsidRPr="00BE32AE">
        <w:rPr>
          <w:rFonts w:ascii="Garamond" w:hAnsi="Garamond" w:cs="Arial"/>
        </w:rPr>
        <w:t xml:space="preserve"> así tiene la segunda menor tasa, después de Magallanes. Y la mayor tasa anual es en Biobío, con un 8,1%. Para las regiones mineras, el promedio de la tasa </w:t>
      </w:r>
      <w:r w:rsidR="00D47907">
        <w:rPr>
          <w:rFonts w:ascii="Garamond" w:hAnsi="Garamond" w:cs="Arial"/>
        </w:rPr>
        <w:t xml:space="preserve">de </w:t>
      </w:r>
      <w:r w:rsidR="00055725" w:rsidRPr="00BE32AE">
        <w:rPr>
          <w:rFonts w:ascii="Garamond" w:hAnsi="Garamond" w:cs="Arial"/>
        </w:rPr>
        <w:t>desocupación es de 5,2% en el 2012, y el promedio de la reducción en 26 años es de 7,7 pp.</w:t>
      </w:r>
    </w:p>
    <w:p w:rsidR="001A7A04" w:rsidRPr="00BE32AE" w:rsidRDefault="008904BA"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La evolución de la </w:t>
      </w:r>
      <w:r w:rsidR="001A7A04" w:rsidRPr="00BE32AE">
        <w:rPr>
          <w:rFonts w:ascii="Garamond" w:hAnsi="Garamond" w:cs="Arial"/>
        </w:rPr>
        <w:t>Ocupación en el país en 26 años ha sido de 3.873.880 personas (desde 3.753.270 a 7.627.150)</w:t>
      </w:r>
      <w:r w:rsidR="00FE57C7" w:rsidRPr="00BE32AE">
        <w:rPr>
          <w:rFonts w:ascii="Garamond" w:hAnsi="Garamond" w:cs="Arial"/>
        </w:rPr>
        <w:t>, que significan un repunte de 103%</w:t>
      </w:r>
      <w:r w:rsidR="001A7A04" w:rsidRPr="00BE32AE">
        <w:rPr>
          <w:rFonts w:ascii="Garamond" w:hAnsi="Garamond" w:cs="Arial"/>
        </w:rPr>
        <w:t xml:space="preserve">; y la </w:t>
      </w:r>
      <w:r w:rsidR="00740F4C" w:rsidRPr="00BE32AE">
        <w:rPr>
          <w:rFonts w:ascii="Garamond" w:hAnsi="Garamond" w:cs="Arial"/>
        </w:rPr>
        <w:t>Fuerza de Trabajo</w:t>
      </w:r>
      <w:r w:rsidR="001A7A04" w:rsidRPr="00BE32AE">
        <w:rPr>
          <w:rFonts w:ascii="Garamond" w:hAnsi="Garamond" w:cs="Arial"/>
        </w:rPr>
        <w:t xml:space="preserve"> también aumentó</w:t>
      </w:r>
      <w:r w:rsidR="00740F4C" w:rsidRPr="00BE32AE">
        <w:rPr>
          <w:rFonts w:ascii="Garamond" w:hAnsi="Garamond" w:cs="Arial"/>
        </w:rPr>
        <w:t xml:space="preserve">, en </w:t>
      </w:r>
      <w:r w:rsidR="00DF19D2" w:rsidRPr="00BE32AE">
        <w:rPr>
          <w:rFonts w:ascii="Garamond" w:hAnsi="Garamond" w:cs="Arial"/>
        </w:rPr>
        <w:t>3.880.540 (desde 4.269.670 a 8.150.220)</w:t>
      </w:r>
      <w:r w:rsidR="00740F4C" w:rsidRPr="00BE32AE">
        <w:rPr>
          <w:rFonts w:ascii="Garamond" w:hAnsi="Garamond" w:cs="Arial"/>
        </w:rPr>
        <w:t xml:space="preserve">, </w:t>
      </w:r>
      <w:r w:rsidR="000501E8">
        <w:rPr>
          <w:rFonts w:ascii="Garamond" w:hAnsi="Garamond" w:cs="Arial"/>
        </w:rPr>
        <w:t xml:space="preserve">cuya diferencia </w:t>
      </w:r>
      <w:r w:rsidR="00AA08B0" w:rsidRPr="00BE32AE">
        <w:rPr>
          <w:rFonts w:ascii="Garamond" w:hAnsi="Garamond" w:cs="Arial"/>
        </w:rPr>
        <w:t xml:space="preserve">resultan en </w:t>
      </w:r>
      <w:r w:rsidR="001A7A04" w:rsidRPr="00BE32AE">
        <w:rPr>
          <w:rFonts w:ascii="Garamond" w:hAnsi="Garamond" w:cs="Arial"/>
        </w:rPr>
        <w:t>la Desocupación</w:t>
      </w:r>
      <w:r w:rsidR="000501E8">
        <w:rPr>
          <w:rStyle w:val="Refdenotaalpie"/>
          <w:rFonts w:ascii="Garamond" w:hAnsi="Garamond" w:cs="Arial"/>
        </w:rPr>
        <w:footnoteReference w:id="23"/>
      </w:r>
      <w:r w:rsidR="001A7A04" w:rsidRPr="00BE32AE">
        <w:rPr>
          <w:rFonts w:ascii="Garamond" w:hAnsi="Garamond" w:cs="Arial"/>
        </w:rPr>
        <w:t xml:space="preserve">, que ha fluctuado desde 516.400 personas en 1986 a 523.070 en 2012, </w:t>
      </w:r>
      <w:r w:rsidR="00AA08B0" w:rsidRPr="00BE32AE">
        <w:rPr>
          <w:rFonts w:ascii="Garamond" w:hAnsi="Garamond" w:cs="Arial"/>
        </w:rPr>
        <w:t>que explican las menores tasas de desempleo.</w:t>
      </w:r>
      <w:r w:rsidR="00AA08B0" w:rsidRPr="00BE32AE">
        <w:rPr>
          <w:rStyle w:val="Refdenotaalpie"/>
          <w:rFonts w:ascii="Garamond" w:hAnsi="Garamond" w:cs="Arial"/>
        </w:rPr>
        <w:footnoteReference w:id="24"/>
      </w:r>
      <w:r w:rsidR="00FF5EAB">
        <w:rPr>
          <w:rStyle w:val="Refdenotaalpie"/>
          <w:rFonts w:ascii="Garamond" w:hAnsi="Garamond" w:cs="Arial"/>
        </w:rPr>
        <w:footnoteReference w:id="25"/>
      </w:r>
    </w:p>
    <w:p w:rsidR="00CA32AC" w:rsidRPr="00BE32AE" w:rsidRDefault="00CA32AC"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En las 4 regiones mineras se producen los mayores crecimientos de </w:t>
      </w:r>
      <w:r w:rsidR="00D13E5A" w:rsidRPr="00BE32AE">
        <w:rPr>
          <w:rFonts w:ascii="Garamond" w:hAnsi="Garamond" w:cs="Arial"/>
        </w:rPr>
        <w:t xml:space="preserve">personas ocupadas en el país, en 26 años (1986-2012), </w:t>
      </w:r>
      <w:r w:rsidR="00E70B59" w:rsidRPr="00BE32AE">
        <w:rPr>
          <w:rFonts w:ascii="Garamond" w:hAnsi="Garamond" w:cs="Arial"/>
        </w:rPr>
        <w:t xml:space="preserve">con un incremento </w:t>
      </w:r>
      <w:r w:rsidR="00D13E5A" w:rsidRPr="00BE32AE">
        <w:rPr>
          <w:rFonts w:ascii="Garamond" w:hAnsi="Garamond" w:cs="Arial"/>
        </w:rPr>
        <w:t>que fluctúa entre 150</w:t>
      </w:r>
      <w:r w:rsidR="00E70B59" w:rsidRPr="00BE32AE">
        <w:rPr>
          <w:rFonts w:ascii="Garamond" w:hAnsi="Garamond" w:cs="Arial"/>
        </w:rPr>
        <w:t>%</w:t>
      </w:r>
      <w:r w:rsidR="00D13E5A" w:rsidRPr="00BE32AE">
        <w:rPr>
          <w:rFonts w:ascii="Garamond" w:hAnsi="Garamond" w:cs="Arial"/>
        </w:rPr>
        <w:t xml:space="preserve"> y 117</w:t>
      </w:r>
      <w:r w:rsidR="00E70B59" w:rsidRPr="00BE32AE">
        <w:rPr>
          <w:rFonts w:ascii="Garamond" w:hAnsi="Garamond" w:cs="Arial"/>
        </w:rPr>
        <w:t>%,</w:t>
      </w:r>
      <w:r w:rsidR="00D13E5A" w:rsidRPr="00BE32AE">
        <w:rPr>
          <w:rFonts w:ascii="Garamond" w:hAnsi="Garamond" w:cs="Arial"/>
        </w:rPr>
        <w:t xml:space="preserve"> con un promedio de 139%. </w:t>
      </w:r>
      <w:r w:rsidR="00E70B59" w:rsidRPr="00BE32AE">
        <w:rPr>
          <w:rFonts w:ascii="Garamond" w:hAnsi="Garamond" w:cs="Arial"/>
        </w:rPr>
        <w:t xml:space="preserve">Esto determina que la participación de estas regiones en el total </w:t>
      </w:r>
      <w:r w:rsidR="00861A41">
        <w:rPr>
          <w:rFonts w:ascii="Garamond" w:hAnsi="Garamond" w:cs="Arial"/>
        </w:rPr>
        <w:t xml:space="preserve">del empleo </w:t>
      </w:r>
      <w:r w:rsidR="00E70B59" w:rsidRPr="00BE32AE">
        <w:rPr>
          <w:rFonts w:ascii="Garamond" w:hAnsi="Garamond" w:cs="Arial"/>
        </w:rPr>
        <w:t>del país crece desde 10,4% a 12,2%</w:t>
      </w:r>
      <w:r w:rsidR="00861A41">
        <w:rPr>
          <w:rFonts w:ascii="Garamond" w:hAnsi="Garamond" w:cs="Arial"/>
        </w:rPr>
        <w:t>, derivado de la atracción que generan las actividades de la minería</w:t>
      </w:r>
      <w:r w:rsidR="00E70B59" w:rsidRPr="00BE32AE">
        <w:rPr>
          <w:rFonts w:ascii="Garamond" w:hAnsi="Garamond" w:cs="Arial"/>
        </w:rPr>
        <w:t xml:space="preserve">. </w:t>
      </w:r>
      <w:r w:rsidR="00D13E5A" w:rsidRPr="00BE32AE">
        <w:rPr>
          <w:rFonts w:ascii="Garamond" w:hAnsi="Garamond" w:cs="Arial"/>
        </w:rPr>
        <w:t xml:space="preserve">También el aumento de la Fuerza de Trabajo supera al resto de las regiones del país, </w:t>
      </w:r>
      <w:r w:rsidR="00AE5AF3" w:rsidRPr="00BE32AE">
        <w:rPr>
          <w:rFonts w:ascii="Garamond" w:hAnsi="Garamond" w:cs="Arial"/>
        </w:rPr>
        <w:t xml:space="preserve">que </w:t>
      </w:r>
      <w:r w:rsidR="000501E8">
        <w:rPr>
          <w:rFonts w:ascii="Garamond" w:hAnsi="Garamond" w:cs="Arial"/>
        </w:rPr>
        <w:t xml:space="preserve">en </w:t>
      </w:r>
      <w:r w:rsidR="00AE5AF3" w:rsidRPr="00BE32AE">
        <w:rPr>
          <w:rFonts w:ascii="Garamond" w:hAnsi="Garamond" w:cs="Arial"/>
        </w:rPr>
        <w:t>promedio crece 118%. En tanto el número de personas Desocupadas disminuye en 15%.</w:t>
      </w:r>
    </w:p>
    <w:p w:rsidR="004A7C05" w:rsidRPr="00BE32AE" w:rsidRDefault="002E19ED"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El aumento de la </w:t>
      </w:r>
      <w:r w:rsidR="000501E8">
        <w:rPr>
          <w:rFonts w:ascii="Garamond" w:hAnsi="Garamond" w:cs="Arial"/>
        </w:rPr>
        <w:t xml:space="preserve">ocupación en el país en 26 años, de </w:t>
      </w:r>
      <w:r w:rsidRPr="00BE32AE">
        <w:rPr>
          <w:rFonts w:ascii="Garamond" w:hAnsi="Garamond" w:cs="Arial"/>
        </w:rPr>
        <w:t>3.873.880</w:t>
      </w:r>
      <w:r w:rsidR="000501E8">
        <w:rPr>
          <w:rFonts w:ascii="Garamond" w:hAnsi="Garamond" w:cs="Arial"/>
        </w:rPr>
        <w:t xml:space="preserve">, </w:t>
      </w:r>
      <w:r w:rsidR="00FE57C7" w:rsidRPr="00BE32AE">
        <w:rPr>
          <w:rFonts w:ascii="Garamond" w:hAnsi="Garamond" w:cs="Arial"/>
        </w:rPr>
        <w:t>crece 103%</w:t>
      </w:r>
      <w:r w:rsidR="000501E8">
        <w:rPr>
          <w:rFonts w:ascii="Garamond" w:hAnsi="Garamond" w:cs="Arial"/>
        </w:rPr>
        <w:t xml:space="preserve">, y </w:t>
      </w:r>
      <w:r w:rsidRPr="00BE32AE">
        <w:rPr>
          <w:rFonts w:ascii="Garamond" w:hAnsi="Garamond" w:cs="Arial"/>
        </w:rPr>
        <w:t xml:space="preserve">se dirige en un </w:t>
      </w:r>
      <w:r w:rsidR="00077D03" w:rsidRPr="00BE32AE">
        <w:rPr>
          <w:rFonts w:ascii="Garamond" w:hAnsi="Garamond" w:cs="Arial"/>
        </w:rPr>
        <w:t>27</w:t>
      </w:r>
      <w:r w:rsidRPr="00BE32AE">
        <w:rPr>
          <w:rFonts w:ascii="Garamond" w:hAnsi="Garamond" w:cs="Arial"/>
        </w:rPr>
        <w:t xml:space="preserve">% </w:t>
      </w:r>
      <w:r w:rsidR="00FE57C7" w:rsidRPr="00BE32AE">
        <w:rPr>
          <w:rFonts w:ascii="Garamond" w:hAnsi="Garamond" w:cs="Arial"/>
        </w:rPr>
        <w:t xml:space="preserve">del total </w:t>
      </w:r>
      <w:r w:rsidR="00077D03" w:rsidRPr="00BE32AE">
        <w:rPr>
          <w:rFonts w:ascii="Garamond" w:hAnsi="Garamond" w:cs="Arial"/>
        </w:rPr>
        <w:t xml:space="preserve">a Servicios comunales y sociales </w:t>
      </w:r>
      <w:r w:rsidR="004A7C05" w:rsidRPr="00BE32AE">
        <w:rPr>
          <w:rFonts w:ascii="Garamond" w:hAnsi="Garamond" w:cs="Arial"/>
        </w:rPr>
        <w:t xml:space="preserve">con un </w:t>
      </w:r>
      <w:r w:rsidR="00077D03" w:rsidRPr="00BE32AE">
        <w:rPr>
          <w:rFonts w:ascii="Garamond" w:hAnsi="Garamond" w:cs="Arial"/>
        </w:rPr>
        <w:t>74</w:t>
      </w:r>
      <w:r w:rsidR="00FE57C7" w:rsidRPr="00BE32AE">
        <w:rPr>
          <w:rFonts w:ascii="Garamond" w:hAnsi="Garamond" w:cs="Arial"/>
        </w:rPr>
        <w:t xml:space="preserve">% de crecimiento, </w:t>
      </w:r>
      <w:r w:rsidRPr="00BE32AE">
        <w:rPr>
          <w:rFonts w:ascii="Garamond" w:hAnsi="Garamond" w:cs="Arial"/>
        </w:rPr>
        <w:t>seguido de</w:t>
      </w:r>
      <w:r w:rsidR="00077D03" w:rsidRPr="00BE32AE">
        <w:rPr>
          <w:rFonts w:ascii="Garamond" w:hAnsi="Garamond" w:cs="Arial"/>
        </w:rPr>
        <w:t>l Comercio</w:t>
      </w:r>
      <w:r w:rsidRPr="00BE32AE">
        <w:rPr>
          <w:rFonts w:ascii="Garamond" w:hAnsi="Garamond" w:cs="Arial"/>
        </w:rPr>
        <w:t>, en 23%</w:t>
      </w:r>
      <w:r w:rsidR="004A7C05" w:rsidRPr="00BE32AE">
        <w:rPr>
          <w:rFonts w:ascii="Garamond" w:hAnsi="Garamond" w:cs="Arial"/>
        </w:rPr>
        <w:t xml:space="preserve"> y </w:t>
      </w:r>
      <w:r w:rsidR="00077D03" w:rsidRPr="00BE32AE">
        <w:rPr>
          <w:rFonts w:ascii="Garamond" w:hAnsi="Garamond" w:cs="Arial"/>
        </w:rPr>
        <w:t>1</w:t>
      </w:r>
      <w:r w:rsidR="004A7C05" w:rsidRPr="00BE32AE">
        <w:rPr>
          <w:rFonts w:ascii="Garamond" w:hAnsi="Garamond" w:cs="Arial"/>
        </w:rPr>
        <w:t>7</w:t>
      </w:r>
      <w:r w:rsidR="00077D03" w:rsidRPr="00BE32AE">
        <w:rPr>
          <w:rFonts w:ascii="Garamond" w:hAnsi="Garamond" w:cs="Arial"/>
        </w:rPr>
        <w:t>9</w:t>
      </w:r>
      <w:r w:rsidR="004A7C05" w:rsidRPr="00BE32AE">
        <w:rPr>
          <w:rFonts w:ascii="Garamond" w:hAnsi="Garamond" w:cs="Arial"/>
        </w:rPr>
        <w:t>% de aumento</w:t>
      </w:r>
      <w:r w:rsidR="00113ADA" w:rsidRPr="00BE32AE">
        <w:rPr>
          <w:rFonts w:ascii="Garamond" w:hAnsi="Garamond" w:cs="Arial"/>
        </w:rPr>
        <w:t>; sin embargo, en términos relativos la ocupaci</w:t>
      </w:r>
      <w:r w:rsidR="00FE57C7" w:rsidRPr="00BE32AE">
        <w:rPr>
          <w:rFonts w:ascii="Garamond" w:hAnsi="Garamond" w:cs="Arial"/>
        </w:rPr>
        <w:t>ón crece más en Servicios Financieros</w:t>
      </w:r>
      <w:r w:rsidR="004A7C05" w:rsidRPr="00BE32AE">
        <w:rPr>
          <w:rFonts w:ascii="Garamond" w:hAnsi="Garamond" w:cs="Arial"/>
        </w:rPr>
        <w:t xml:space="preserve">, la Construcción y la Minería, en 307%, 279% y 215%, respectivamente. Particularmente la minería incrementa su participación en </w:t>
      </w:r>
      <w:r w:rsidR="00077D03" w:rsidRPr="00BE32AE">
        <w:rPr>
          <w:rFonts w:ascii="Garamond" w:hAnsi="Garamond" w:cs="Arial"/>
        </w:rPr>
        <w:t xml:space="preserve">el </w:t>
      </w:r>
      <w:r w:rsidR="004A7C05" w:rsidRPr="00BE32AE">
        <w:rPr>
          <w:rFonts w:ascii="Garamond" w:hAnsi="Garamond" w:cs="Arial"/>
        </w:rPr>
        <w:t xml:space="preserve">total de la ocupación del país, desde 2,1% </w:t>
      </w:r>
      <w:r w:rsidR="00050E01" w:rsidRPr="00BE32AE">
        <w:rPr>
          <w:rFonts w:ascii="Garamond" w:hAnsi="Garamond" w:cs="Arial"/>
        </w:rPr>
        <w:t xml:space="preserve">en 1986 </w:t>
      </w:r>
      <w:r w:rsidR="004A7C05" w:rsidRPr="00BE32AE">
        <w:rPr>
          <w:rFonts w:ascii="Garamond" w:hAnsi="Garamond" w:cs="Arial"/>
        </w:rPr>
        <w:t xml:space="preserve">a </w:t>
      </w:r>
      <w:r w:rsidR="00077D03" w:rsidRPr="00BE32AE">
        <w:rPr>
          <w:rFonts w:ascii="Garamond" w:hAnsi="Garamond" w:cs="Arial"/>
        </w:rPr>
        <w:t>3,3</w:t>
      </w:r>
      <w:r w:rsidR="00050E01" w:rsidRPr="00BE32AE">
        <w:rPr>
          <w:rFonts w:ascii="Garamond" w:hAnsi="Garamond" w:cs="Arial"/>
        </w:rPr>
        <w:t>% en 2012.</w:t>
      </w:r>
    </w:p>
    <w:p w:rsidR="00915962" w:rsidRPr="00BE32AE" w:rsidRDefault="004A7C05"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En las regiones mineras </w:t>
      </w:r>
      <w:r w:rsidR="0045322C" w:rsidRPr="00BE32AE">
        <w:rPr>
          <w:rFonts w:ascii="Garamond" w:hAnsi="Garamond" w:cs="Arial"/>
        </w:rPr>
        <w:t>el aumento del empleo para el mismo período de 26 años</w:t>
      </w:r>
      <w:r w:rsidR="00B33C86">
        <w:rPr>
          <w:rFonts w:ascii="Garamond" w:hAnsi="Garamond" w:cs="Arial"/>
        </w:rPr>
        <w:t xml:space="preserve"> (1986 – 2012)</w:t>
      </w:r>
      <w:r w:rsidR="0045322C" w:rsidRPr="00BE32AE">
        <w:rPr>
          <w:rFonts w:ascii="Garamond" w:hAnsi="Garamond" w:cs="Arial"/>
        </w:rPr>
        <w:t xml:space="preserve">, crece en 541.580 personas, </w:t>
      </w:r>
      <w:r w:rsidR="00E70B59" w:rsidRPr="00BE32AE">
        <w:rPr>
          <w:rFonts w:ascii="Garamond" w:hAnsi="Garamond" w:cs="Arial"/>
        </w:rPr>
        <w:t>por sobre el promedio del país,</w:t>
      </w:r>
      <w:r w:rsidR="00B33C86">
        <w:rPr>
          <w:rFonts w:ascii="Garamond" w:hAnsi="Garamond" w:cs="Arial"/>
        </w:rPr>
        <w:t xml:space="preserve"> según datos de ocupación del INE, </w:t>
      </w:r>
      <w:r w:rsidR="00E70B59" w:rsidRPr="00BE32AE">
        <w:rPr>
          <w:rFonts w:ascii="Garamond" w:hAnsi="Garamond" w:cs="Arial"/>
        </w:rPr>
        <w:t xml:space="preserve">con lo cual </w:t>
      </w:r>
      <w:r w:rsidR="00294ABE" w:rsidRPr="00BE32AE">
        <w:rPr>
          <w:rFonts w:ascii="Garamond" w:hAnsi="Garamond" w:cs="Arial"/>
        </w:rPr>
        <w:t xml:space="preserve">varias actividades ven incrementados sus tamaños relativos sobre el global nacional. </w:t>
      </w:r>
      <w:r w:rsidR="006865C2" w:rsidRPr="00BE32AE">
        <w:rPr>
          <w:rFonts w:ascii="Garamond" w:hAnsi="Garamond" w:cs="Arial"/>
        </w:rPr>
        <w:t xml:space="preserve">Esto se produce en la Minería, desde 50% a 60%; </w:t>
      </w:r>
      <w:r w:rsidR="0045322C" w:rsidRPr="00BE32AE">
        <w:rPr>
          <w:rFonts w:ascii="Garamond" w:hAnsi="Garamond" w:cs="Arial"/>
        </w:rPr>
        <w:t xml:space="preserve">en </w:t>
      </w:r>
      <w:r w:rsidR="006865C2" w:rsidRPr="00BE32AE">
        <w:rPr>
          <w:rFonts w:ascii="Garamond" w:hAnsi="Garamond" w:cs="Arial"/>
        </w:rPr>
        <w:t>Electricidad, gas y agua, 10% a 17%; Servicios financieros, 5,6% a 8,5%</w:t>
      </w:r>
      <w:r w:rsidR="0045322C" w:rsidRPr="00BE32AE">
        <w:rPr>
          <w:rFonts w:ascii="Garamond" w:hAnsi="Garamond" w:cs="Arial"/>
        </w:rPr>
        <w:t xml:space="preserve">. La composición </w:t>
      </w:r>
      <w:r w:rsidR="003A47E1" w:rsidRPr="00BE32AE">
        <w:rPr>
          <w:rFonts w:ascii="Garamond" w:hAnsi="Garamond" w:cs="Arial"/>
        </w:rPr>
        <w:t xml:space="preserve">de las principales actividades en las 4 regiones, se distribuye en Servicios comunales y sociales (cae desde 29% a 24%), Comercio (crece desde 18% a 23%) y Minería (10% a 16%). Los </w:t>
      </w:r>
      <w:r w:rsidR="000501E8">
        <w:rPr>
          <w:rFonts w:ascii="Garamond" w:hAnsi="Garamond" w:cs="Arial"/>
        </w:rPr>
        <w:t xml:space="preserve">mayores </w:t>
      </w:r>
      <w:r w:rsidR="003A47E1" w:rsidRPr="00BE32AE">
        <w:rPr>
          <w:rFonts w:ascii="Garamond" w:hAnsi="Garamond" w:cs="Arial"/>
        </w:rPr>
        <w:t>increment</w:t>
      </w:r>
      <w:r w:rsidR="000501E8">
        <w:rPr>
          <w:rFonts w:ascii="Garamond" w:hAnsi="Garamond" w:cs="Arial"/>
        </w:rPr>
        <w:t xml:space="preserve">os </w:t>
      </w:r>
      <w:r w:rsidR="003A47E1" w:rsidRPr="00BE32AE">
        <w:rPr>
          <w:rFonts w:ascii="Garamond" w:hAnsi="Garamond" w:cs="Arial"/>
        </w:rPr>
        <w:t xml:space="preserve">son </w:t>
      </w:r>
      <w:r w:rsidR="000501E8">
        <w:rPr>
          <w:rFonts w:ascii="Garamond" w:hAnsi="Garamond" w:cs="Arial"/>
        </w:rPr>
        <w:t xml:space="preserve">en </w:t>
      </w:r>
      <w:r w:rsidR="003A47E1" w:rsidRPr="00BE32AE">
        <w:rPr>
          <w:rFonts w:ascii="Garamond" w:hAnsi="Garamond" w:cs="Arial"/>
        </w:rPr>
        <w:t xml:space="preserve">Servicios financieros (513%), </w:t>
      </w:r>
      <w:r w:rsidR="00C27177" w:rsidRPr="00BE32AE">
        <w:rPr>
          <w:rFonts w:ascii="Garamond" w:hAnsi="Garamond" w:cs="Arial"/>
        </w:rPr>
        <w:t xml:space="preserve">Electricidad, gas y agua (289%) y Minería (275%). </w:t>
      </w:r>
      <w:r w:rsidR="008C2293" w:rsidRPr="00BE32AE">
        <w:rPr>
          <w:rFonts w:ascii="Garamond" w:hAnsi="Garamond" w:cs="Arial"/>
        </w:rPr>
        <w:t xml:space="preserve">Al interior de estas regiones, la ocupación en la minería crece entre 1.850% en Tarapacá a </w:t>
      </w:r>
      <w:r w:rsidR="00915962" w:rsidRPr="00BE32AE">
        <w:rPr>
          <w:rFonts w:ascii="Garamond" w:hAnsi="Garamond" w:cs="Arial"/>
        </w:rPr>
        <w:t xml:space="preserve">103,2% en Atacama; y otras actividades, también impulsados por ese sector tienen grandes repuntes en la contratación, como los Servicios financieros, en Atacama, Coquimbo, Antofagasta y Tarapacá, en 1.211%, 924%, 454% y 257%, respectivamente. </w:t>
      </w:r>
    </w:p>
    <w:p w:rsidR="00C1631C" w:rsidRDefault="00C1631C" w:rsidP="000C1827">
      <w:pPr>
        <w:pStyle w:val="NormalWeb"/>
        <w:spacing w:before="0" w:beforeAutospacing="0" w:after="240" w:afterAutospacing="0" w:line="288" w:lineRule="auto"/>
        <w:jc w:val="both"/>
        <w:rPr>
          <w:rFonts w:ascii="Garamond" w:hAnsi="Garamond" w:cs="Arial"/>
        </w:rPr>
      </w:pPr>
      <w:r>
        <w:rPr>
          <w:rFonts w:ascii="Garamond" w:hAnsi="Garamond" w:cs="Arial"/>
        </w:rPr>
        <w:t xml:space="preserve">El crecimiento del empleo también se ve determinado </w:t>
      </w:r>
      <w:r w:rsidR="00DA2B12">
        <w:rPr>
          <w:rFonts w:ascii="Garamond" w:hAnsi="Garamond" w:cs="Arial"/>
        </w:rPr>
        <w:t xml:space="preserve">por </w:t>
      </w:r>
      <w:r>
        <w:rPr>
          <w:rFonts w:ascii="Garamond" w:hAnsi="Garamond" w:cs="Arial"/>
        </w:rPr>
        <w:t xml:space="preserve">la “conmutación </w:t>
      </w:r>
      <w:r w:rsidRPr="002C6F2B">
        <w:rPr>
          <w:rFonts w:ascii="Garamond" w:hAnsi="Garamond" w:cs="Arial"/>
        </w:rPr>
        <w:t>interregional o de larga distancia”</w:t>
      </w:r>
      <w:r>
        <w:rPr>
          <w:rStyle w:val="Refdenotaalpie"/>
          <w:rFonts w:ascii="Garamond" w:hAnsi="Garamond" w:cs="Arial"/>
        </w:rPr>
        <w:footnoteReference w:id="26"/>
      </w:r>
      <w:r>
        <w:rPr>
          <w:rFonts w:ascii="Garamond" w:hAnsi="Garamond" w:cs="Arial"/>
        </w:rPr>
        <w:t xml:space="preserve"> referido a “</w:t>
      </w:r>
      <w:r w:rsidRPr="00F00AA6">
        <w:rPr>
          <w:rFonts w:ascii="Garamond" w:hAnsi="Garamond" w:cs="Arial"/>
        </w:rPr>
        <w:t xml:space="preserve">una proporción importante de trabajadores </w:t>
      </w:r>
      <w:r>
        <w:rPr>
          <w:rFonts w:ascii="Garamond" w:hAnsi="Garamond" w:cs="Arial"/>
        </w:rPr>
        <w:t xml:space="preserve">(que) </w:t>
      </w:r>
      <w:r w:rsidRPr="00F00AA6">
        <w:rPr>
          <w:rFonts w:ascii="Garamond" w:hAnsi="Garamond" w:cs="Arial"/>
        </w:rPr>
        <w:t>opta por separar la región de trabajo de la región de residencia”. Particularmente en el caso de Antofagasta, según el Censo del 2002, 16.500 trabajadores provenían de otras regiones, “lo que representa más de</w:t>
      </w:r>
      <w:r>
        <w:rPr>
          <w:rFonts w:ascii="Garamond" w:hAnsi="Garamond" w:cs="Arial"/>
        </w:rPr>
        <w:t>l</w:t>
      </w:r>
      <w:r w:rsidRPr="00F00AA6">
        <w:rPr>
          <w:rFonts w:ascii="Garamond" w:hAnsi="Garamond" w:cs="Arial"/>
        </w:rPr>
        <w:t xml:space="preserve"> 10% de la fuerza laboral local”.</w:t>
      </w:r>
      <w:r>
        <w:rPr>
          <w:rFonts w:ascii="Garamond" w:hAnsi="Garamond" w:cs="Arial"/>
        </w:rPr>
        <w:t xml:space="preserve"> La realidad actual </w:t>
      </w:r>
      <w:r w:rsidR="00B94E84">
        <w:rPr>
          <w:rFonts w:ascii="Garamond" w:hAnsi="Garamond" w:cs="Arial"/>
        </w:rPr>
        <w:t xml:space="preserve">no se puede determinar con certeza, pero se </w:t>
      </w:r>
      <w:r>
        <w:rPr>
          <w:rFonts w:ascii="Garamond" w:hAnsi="Garamond" w:cs="Arial"/>
        </w:rPr>
        <w:t xml:space="preserve">podría suponer el crecimiento de la conmutación en Tarapacá y Atacama, por el aumento de las inversiones y proyectos mineros en esos territorios. En el caso de Coquimbo, se </w:t>
      </w:r>
      <w:r w:rsidR="00B94E84">
        <w:rPr>
          <w:rFonts w:ascii="Garamond" w:hAnsi="Garamond" w:cs="Arial"/>
        </w:rPr>
        <w:t xml:space="preserve">mantendría la situación observada en el Censo 2002, </w:t>
      </w:r>
      <w:r w:rsidR="00011821">
        <w:rPr>
          <w:rFonts w:ascii="Garamond" w:hAnsi="Garamond" w:cs="Arial"/>
        </w:rPr>
        <w:t>como región de residencia neta</w:t>
      </w:r>
      <w:r w:rsidR="00011821">
        <w:rPr>
          <w:rStyle w:val="Refdenotaalpie"/>
          <w:rFonts w:ascii="Garamond" w:hAnsi="Garamond" w:cs="Arial"/>
        </w:rPr>
        <w:footnoteReference w:id="27"/>
      </w:r>
      <w:r w:rsidR="00011821">
        <w:rPr>
          <w:rFonts w:ascii="Garamond" w:hAnsi="Garamond" w:cs="Arial"/>
        </w:rPr>
        <w:t xml:space="preserve"> de trabajadores de otras regiones mineras </w:t>
      </w:r>
      <w:r w:rsidR="00B94E84">
        <w:rPr>
          <w:rFonts w:ascii="Garamond" w:hAnsi="Garamond" w:cs="Arial"/>
        </w:rPr>
        <w:t xml:space="preserve">por el comportamiento de otros indicadores, como la Venta de Supermercados, que tiene </w:t>
      </w:r>
      <w:r w:rsidR="00DA2B12">
        <w:rPr>
          <w:rFonts w:ascii="Garamond" w:hAnsi="Garamond" w:cs="Arial"/>
        </w:rPr>
        <w:t xml:space="preserve">un nivel de gasto que supera a otras regiones. </w:t>
      </w:r>
    </w:p>
    <w:p w:rsidR="00F1310D" w:rsidRDefault="00F1310D" w:rsidP="000C1827">
      <w:pPr>
        <w:pStyle w:val="NormalWeb"/>
        <w:spacing w:before="0" w:beforeAutospacing="0" w:after="240" w:afterAutospacing="0" w:line="288" w:lineRule="auto"/>
        <w:jc w:val="both"/>
        <w:rPr>
          <w:rFonts w:ascii="Garamond" w:hAnsi="Garamond" w:cs="Arial"/>
        </w:rPr>
      </w:pPr>
    </w:p>
    <w:tbl>
      <w:tblPr>
        <w:tblW w:w="6379" w:type="dxa"/>
        <w:tblInd w:w="1063" w:type="dxa"/>
        <w:tblLayout w:type="fixed"/>
        <w:tblCellMar>
          <w:left w:w="70" w:type="dxa"/>
          <w:right w:w="70" w:type="dxa"/>
        </w:tblCellMar>
        <w:tblLook w:val="04A0" w:firstRow="1" w:lastRow="0" w:firstColumn="1" w:lastColumn="0" w:noHBand="0" w:noVBand="1"/>
      </w:tblPr>
      <w:tblGrid>
        <w:gridCol w:w="1587"/>
        <w:gridCol w:w="1587"/>
        <w:gridCol w:w="1587"/>
        <w:gridCol w:w="1618"/>
      </w:tblGrid>
      <w:tr w:rsidR="00C1631C" w:rsidRPr="00C1631C" w:rsidTr="006B04F1">
        <w:trPr>
          <w:trHeight w:val="477"/>
        </w:trPr>
        <w:tc>
          <w:tcPr>
            <w:tcW w:w="6379"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C1631C" w:rsidRPr="00C1631C" w:rsidRDefault="00C1631C" w:rsidP="006F554E">
            <w:pPr>
              <w:spacing w:after="0" w:line="240" w:lineRule="auto"/>
              <w:jc w:val="center"/>
              <w:rPr>
                <w:rFonts w:ascii="Calibri" w:eastAsia="Times New Roman" w:hAnsi="Calibri" w:cs="Calibri"/>
                <w:b/>
                <w:bCs/>
                <w:color w:val="000000"/>
                <w:lang w:eastAsia="es-CL"/>
              </w:rPr>
            </w:pPr>
            <w:r w:rsidRPr="00C1631C">
              <w:rPr>
                <w:rFonts w:ascii="Calibri" w:eastAsia="Times New Roman" w:hAnsi="Calibri" w:cs="Calibri"/>
                <w:b/>
                <w:bCs/>
                <w:color w:val="000000"/>
                <w:lang w:eastAsia="es-CL"/>
              </w:rPr>
              <w:t xml:space="preserve">Tasas </w:t>
            </w:r>
            <w:r w:rsidR="006F554E" w:rsidRPr="00C1631C">
              <w:rPr>
                <w:rFonts w:ascii="Calibri" w:eastAsia="Times New Roman" w:hAnsi="Calibri" w:cs="Calibri"/>
                <w:b/>
                <w:bCs/>
                <w:color w:val="000000"/>
                <w:lang w:eastAsia="es-CL"/>
              </w:rPr>
              <w:t xml:space="preserve">Netas </w:t>
            </w:r>
            <w:r w:rsidR="006F554E">
              <w:rPr>
                <w:rFonts w:ascii="Calibri" w:eastAsia="Times New Roman" w:hAnsi="Calibri" w:cs="Calibri"/>
                <w:b/>
                <w:bCs/>
                <w:color w:val="000000"/>
                <w:lang w:eastAsia="es-CL"/>
              </w:rPr>
              <w:t>d</w:t>
            </w:r>
            <w:r w:rsidR="006F554E" w:rsidRPr="00C1631C">
              <w:rPr>
                <w:rFonts w:ascii="Calibri" w:eastAsia="Times New Roman" w:hAnsi="Calibri" w:cs="Calibri"/>
                <w:b/>
                <w:bCs/>
                <w:color w:val="000000"/>
                <w:lang w:eastAsia="es-CL"/>
              </w:rPr>
              <w:t xml:space="preserve">e Recepción Regional </w:t>
            </w:r>
            <w:r w:rsidR="006F554E">
              <w:rPr>
                <w:rFonts w:ascii="Calibri" w:eastAsia="Times New Roman" w:hAnsi="Calibri" w:cs="Calibri"/>
                <w:b/>
                <w:bCs/>
                <w:color w:val="000000"/>
                <w:lang w:eastAsia="es-CL"/>
              </w:rPr>
              <w:t>d</w:t>
            </w:r>
            <w:r w:rsidR="006F554E" w:rsidRPr="00C1631C">
              <w:rPr>
                <w:rFonts w:ascii="Calibri" w:eastAsia="Times New Roman" w:hAnsi="Calibri" w:cs="Calibri"/>
                <w:b/>
                <w:bCs/>
                <w:color w:val="000000"/>
                <w:lang w:eastAsia="es-CL"/>
              </w:rPr>
              <w:t xml:space="preserve">e Conmutantes, 2002 </w:t>
            </w:r>
            <w:r w:rsidRPr="00C1631C">
              <w:rPr>
                <w:rFonts w:ascii="Calibri" w:eastAsia="Times New Roman" w:hAnsi="Calibri" w:cs="Calibri"/>
                <w:b/>
                <w:bCs/>
                <w:color w:val="000000"/>
                <w:lang w:eastAsia="es-CL"/>
              </w:rPr>
              <w:t>(</w:t>
            </w:r>
            <w:r>
              <w:rPr>
                <w:rFonts w:ascii="Calibri" w:eastAsia="Times New Roman" w:hAnsi="Calibri" w:cs="Calibri"/>
                <w:b/>
                <w:bCs/>
                <w:color w:val="000000"/>
                <w:lang w:eastAsia="es-CL"/>
              </w:rPr>
              <w:t>%</w:t>
            </w:r>
            <w:r w:rsidRPr="00C1631C">
              <w:rPr>
                <w:rFonts w:ascii="Calibri" w:eastAsia="Times New Roman" w:hAnsi="Calibri" w:cs="Calibri"/>
                <w:b/>
                <w:bCs/>
                <w:color w:val="000000"/>
                <w:lang w:eastAsia="es-CL"/>
              </w:rPr>
              <w:t>)</w:t>
            </w:r>
          </w:p>
        </w:tc>
      </w:tr>
      <w:tr w:rsidR="00C1631C" w:rsidRPr="00C1631C" w:rsidTr="006B04F1">
        <w:trPr>
          <w:trHeight w:val="900"/>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rsidR="00C1631C" w:rsidRPr="00C1631C" w:rsidRDefault="00B94E84" w:rsidP="00C1631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w:t>
            </w:r>
            <w:r w:rsidR="00C1631C" w:rsidRPr="00C1631C">
              <w:rPr>
                <w:rFonts w:ascii="Calibri" w:eastAsia="Times New Roman" w:hAnsi="Calibri" w:cs="Calibri"/>
                <w:color w:val="000000"/>
                <w:lang w:eastAsia="es-CL"/>
              </w:rPr>
              <w:t>egión</w:t>
            </w:r>
          </w:p>
        </w:tc>
        <w:tc>
          <w:tcPr>
            <w:tcW w:w="1587" w:type="dxa"/>
            <w:tcBorders>
              <w:top w:val="nil"/>
              <w:left w:val="nil"/>
              <w:bottom w:val="single" w:sz="4" w:space="0" w:color="auto"/>
              <w:right w:val="single" w:sz="4" w:space="0" w:color="auto"/>
            </w:tcBorders>
            <w:shd w:val="clear" w:color="auto" w:fill="auto"/>
            <w:vAlign w:val="center"/>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Conmutan Fuera</w:t>
            </w:r>
          </w:p>
        </w:tc>
        <w:tc>
          <w:tcPr>
            <w:tcW w:w="1587" w:type="dxa"/>
            <w:tcBorders>
              <w:top w:val="nil"/>
              <w:left w:val="nil"/>
              <w:bottom w:val="single" w:sz="4" w:space="0" w:color="auto"/>
              <w:right w:val="single" w:sz="4" w:space="0" w:color="auto"/>
            </w:tcBorders>
            <w:shd w:val="clear" w:color="auto" w:fill="auto"/>
            <w:vAlign w:val="center"/>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Conmutan Dentro</w:t>
            </w:r>
          </w:p>
        </w:tc>
        <w:tc>
          <w:tcPr>
            <w:tcW w:w="1618" w:type="dxa"/>
            <w:tcBorders>
              <w:top w:val="nil"/>
              <w:left w:val="nil"/>
              <w:bottom w:val="single" w:sz="4" w:space="0" w:color="auto"/>
              <w:right w:val="single" w:sz="8" w:space="0" w:color="auto"/>
            </w:tcBorders>
            <w:shd w:val="clear" w:color="auto" w:fill="auto"/>
            <w:vAlign w:val="center"/>
            <w:hideMark/>
          </w:tcPr>
          <w:p w:rsidR="00C1631C" w:rsidRPr="00C1631C" w:rsidRDefault="00C1631C" w:rsidP="00C1631C">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T</w:t>
            </w:r>
            <w:r w:rsidRPr="00C1631C">
              <w:rPr>
                <w:rFonts w:ascii="Calibri" w:eastAsia="Times New Roman" w:hAnsi="Calibri" w:cs="Calibri"/>
                <w:color w:val="000000"/>
                <w:lang w:eastAsia="es-CL"/>
              </w:rPr>
              <w:t xml:space="preserve">asa </w:t>
            </w:r>
            <w:r>
              <w:rPr>
                <w:rFonts w:ascii="Calibri" w:eastAsia="Times New Roman" w:hAnsi="Calibri" w:cs="Calibri"/>
                <w:color w:val="000000"/>
                <w:lang w:eastAsia="es-CL"/>
              </w:rPr>
              <w:t>N</w:t>
            </w:r>
            <w:r w:rsidRPr="00C1631C">
              <w:rPr>
                <w:rFonts w:ascii="Calibri" w:eastAsia="Times New Roman" w:hAnsi="Calibri" w:cs="Calibri"/>
                <w:color w:val="000000"/>
                <w:lang w:eastAsia="es-CL"/>
              </w:rPr>
              <w:t xml:space="preserve">eta de </w:t>
            </w:r>
            <w:r>
              <w:rPr>
                <w:rFonts w:ascii="Calibri" w:eastAsia="Times New Roman" w:hAnsi="Calibri" w:cs="Calibri"/>
                <w:color w:val="000000"/>
                <w:lang w:eastAsia="es-CL"/>
              </w:rPr>
              <w:t>R</w:t>
            </w:r>
            <w:r w:rsidRPr="00C1631C">
              <w:rPr>
                <w:rFonts w:ascii="Calibri" w:eastAsia="Times New Roman" w:hAnsi="Calibri" w:cs="Calibri"/>
                <w:color w:val="000000"/>
                <w:lang w:eastAsia="es-CL"/>
              </w:rPr>
              <w:t xml:space="preserve">ecepción de </w:t>
            </w:r>
            <w:r>
              <w:rPr>
                <w:rFonts w:ascii="Calibri" w:eastAsia="Times New Roman" w:hAnsi="Calibri" w:cs="Calibri"/>
                <w:color w:val="000000"/>
                <w:lang w:eastAsia="es-CL"/>
              </w:rPr>
              <w:t>C</w:t>
            </w:r>
            <w:r w:rsidRPr="00C1631C">
              <w:rPr>
                <w:rFonts w:ascii="Calibri" w:eastAsia="Times New Roman" w:hAnsi="Calibri" w:cs="Calibri"/>
                <w:color w:val="000000"/>
                <w:lang w:eastAsia="es-CL"/>
              </w:rPr>
              <w:t>onmutantes</w:t>
            </w:r>
          </w:p>
        </w:tc>
      </w:tr>
      <w:tr w:rsidR="00C1631C" w:rsidRPr="00C1631C" w:rsidTr="006B04F1">
        <w:trPr>
          <w:trHeight w:val="300"/>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rPr>
                <w:rFonts w:ascii="Calibri" w:eastAsia="Times New Roman" w:hAnsi="Calibri" w:cs="Calibri"/>
                <w:color w:val="000000"/>
                <w:lang w:eastAsia="es-CL"/>
              </w:rPr>
            </w:pPr>
            <w:r w:rsidRPr="00C1631C">
              <w:rPr>
                <w:rFonts w:ascii="Calibri" w:eastAsia="Times New Roman" w:hAnsi="Calibri" w:cs="Calibri"/>
                <w:color w:val="000000"/>
                <w:lang w:eastAsia="es-CL"/>
              </w:rPr>
              <w:t>Tarapacá</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2,2</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3,7</w:t>
            </w:r>
          </w:p>
        </w:tc>
        <w:tc>
          <w:tcPr>
            <w:tcW w:w="1618" w:type="dxa"/>
            <w:tcBorders>
              <w:top w:val="nil"/>
              <w:left w:val="nil"/>
              <w:bottom w:val="single" w:sz="4" w:space="0" w:color="auto"/>
              <w:right w:val="single" w:sz="8"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1,5</w:t>
            </w:r>
          </w:p>
        </w:tc>
      </w:tr>
      <w:tr w:rsidR="00C1631C" w:rsidRPr="00C1631C" w:rsidTr="006B04F1">
        <w:trPr>
          <w:trHeight w:val="300"/>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rPr>
                <w:rFonts w:ascii="Calibri" w:eastAsia="Times New Roman" w:hAnsi="Calibri" w:cs="Calibri"/>
                <w:color w:val="000000"/>
                <w:lang w:eastAsia="es-CL"/>
              </w:rPr>
            </w:pPr>
            <w:r w:rsidRPr="00C1631C">
              <w:rPr>
                <w:rFonts w:ascii="Calibri" w:eastAsia="Times New Roman" w:hAnsi="Calibri" w:cs="Calibri"/>
                <w:color w:val="000000"/>
                <w:lang w:eastAsia="es-CL"/>
              </w:rPr>
              <w:t>Antofagasta</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1,4</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11</w:t>
            </w:r>
          </w:p>
        </w:tc>
        <w:tc>
          <w:tcPr>
            <w:tcW w:w="1618" w:type="dxa"/>
            <w:tcBorders>
              <w:top w:val="nil"/>
              <w:left w:val="nil"/>
              <w:bottom w:val="single" w:sz="4" w:space="0" w:color="auto"/>
              <w:right w:val="single" w:sz="8"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9,6</w:t>
            </w:r>
          </w:p>
        </w:tc>
      </w:tr>
      <w:tr w:rsidR="00C1631C" w:rsidRPr="00C1631C" w:rsidTr="006B04F1">
        <w:trPr>
          <w:trHeight w:val="300"/>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rPr>
                <w:rFonts w:ascii="Calibri" w:eastAsia="Times New Roman" w:hAnsi="Calibri" w:cs="Calibri"/>
                <w:color w:val="000000"/>
                <w:lang w:eastAsia="es-CL"/>
              </w:rPr>
            </w:pPr>
            <w:r w:rsidRPr="00C1631C">
              <w:rPr>
                <w:rFonts w:ascii="Calibri" w:eastAsia="Times New Roman" w:hAnsi="Calibri" w:cs="Calibri"/>
                <w:color w:val="000000"/>
                <w:lang w:eastAsia="es-CL"/>
              </w:rPr>
              <w:t>Atacama</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5,3</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6,1</w:t>
            </w:r>
          </w:p>
        </w:tc>
        <w:tc>
          <w:tcPr>
            <w:tcW w:w="1618" w:type="dxa"/>
            <w:tcBorders>
              <w:top w:val="nil"/>
              <w:left w:val="nil"/>
              <w:bottom w:val="single" w:sz="4" w:space="0" w:color="auto"/>
              <w:right w:val="single" w:sz="8"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0,8</w:t>
            </w:r>
          </w:p>
        </w:tc>
      </w:tr>
      <w:tr w:rsidR="00C1631C" w:rsidRPr="00C1631C" w:rsidTr="006B04F1">
        <w:trPr>
          <w:trHeight w:val="300"/>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rPr>
                <w:rFonts w:ascii="Calibri" w:eastAsia="Times New Roman" w:hAnsi="Calibri" w:cs="Calibri"/>
                <w:color w:val="000000"/>
                <w:lang w:eastAsia="es-CL"/>
              </w:rPr>
            </w:pPr>
            <w:r w:rsidRPr="00C1631C">
              <w:rPr>
                <w:rFonts w:ascii="Calibri" w:eastAsia="Times New Roman" w:hAnsi="Calibri" w:cs="Calibri"/>
                <w:color w:val="000000"/>
                <w:lang w:eastAsia="es-CL"/>
              </w:rPr>
              <w:t>Coquimbo</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5</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2,5</w:t>
            </w:r>
          </w:p>
        </w:tc>
        <w:tc>
          <w:tcPr>
            <w:tcW w:w="1618" w:type="dxa"/>
            <w:tcBorders>
              <w:top w:val="nil"/>
              <w:left w:val="nil"/>
              <w:bottom w:val="single" w:sz="4" w:space="0" w:color="auto"/>
              <w:right w:val="single" w:sz="8"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-2,4</w:t>
            </w:r>
          </w:p>
        </w:tc>
      </w:tr>
      <w:tr w:rsidR="00C1631C" w:rsidRPr="00C1631C" w:rsidTr="006B04F1">
        <w:trPr>
          <w:trHeight w:val="300"/>
        </w:trPr>
        <w:tc>
          <w:tcPr>
            <w:tcW w:w="1587" w:type="dxa"/>
            <w:tcBorders>
              <w:top w:val="nil"/>
              <w:left w:val="single" w:sz="8" w:space="0" w:color="auto"/>
              <w:bottom w:val="single" w:sz="4" w:space="0" w:color="auto"/>
              <w:right w:val="single" w:sz="4" w:space="0" w:color="auto"/>
            </w:tcBorders>
            <w:shd w:val="clear" w:color="auto" w:fill="auto"/>
            <w:vAlign w:val="bottom"/>
            <w:hideMark/>
          </w:tcPr>
          <w:p w:rsidR="00C1631C" w:rsidRPr="00C1631C" w:rsidRDefault="00C1631C" w:rsidP="00C1631C">
            <w:pPr>
              <w:spacing w:after="0" w:line="240" w:lineRule="auto"/>
              <w:rPr>
                <w:rFonts w:ascii="Calibri" w:eastAsia="Times New Roman" w:hAnsi="Calibri" w:cs="Calibri"/>
                <w:color w:val="000000"/>
                <w:lang w:eastAsia="es-CL"/>
              </w:rPr>
            </w:pPr>
            <w:r w:rsidRPr="00C1631C">
              <w:rPr>
                <w:rFonts w:ascii="Calibri" w:eastAsia="Times New Roman" w:hAnsi="Calibri" w:cs="Calibri"/>
                <w:color w:val="000000"/>
                <w:lang w:eastAsia="es-CL"/>
              </w:rPr>
              <w:t>Valparaíso, Santiago, O'Higgins</w:t>
            </w:r>
          </w:p>
        </w:tc>
        <w:tc>
          <w:tcPr>
            <w:tcW w:w="1587" w:type="dxa"/>
            <w:tcBorders>
              <w:top w:val="nil"/>
              <w:left w:val="nil"/>
              <w:bottom w:val="single" w:sz="4" w:space="0" w:color="auto"/>
              <w:right w:val="single" w:sz="4" w:space="0" w:color="auto"/>
            </w:tcBorders>
            <w:shd w:val="clear" w:color="auto" w:fill="auto"/>
            <w:noWrap/>
            <w:vAlign w:val="center"/>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1</w:t>
            </w:r>
          </w:p>
        </w:tc>
        <w:tc>
          <w:tcPr>
            <w:tcW w:w="1587" w:type="dxa"/>
            <w:tcBorders>
              <w:top w:val="nil"/>
              <w:left w:val="nil"/>
              <w:bottom w:val="single" w:sz="4" w:space="0" w:color="auto"/>
              <w:right w:val="single" w:sz="4" w:space="0" w:color="auto"/>
            </w:tcBorders>
            <w:shd w:val="clear" w:color="auto" w:fill="auto"/>
            <w:noWrap/>
            <w:vAlign w:val="center"/>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0,7</w:t>
            </w:r>
          </w:p>
        </w:tc>
        <w:tc>
          <w:tcPr>
            <w:tcW w:w="1618" w:type="dxa"/>
            <w:tcBorders>
              <w:top w:val="nil"/>
              <w:left w:val="nil"/>
              <w:bottom w:val="single" w:sz="4" w:space="0" w:color="auto"/>
              <w:right w:val="single" w:sz="8" w:space="0" w:color="auto"/>
            </w:tcBorders>
            <w:shd w:val="clear" w:color="auto" w:fill="auto"/>
            <w:noWrap/>
            <w:vAlign w:val="center"/>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-0,3</w:t>
            </w:r>
          </w:p>
        </w:tc>
      </w:tr>
      <w:tr w:rsidR="00C1631C" w:rsidRPr="00C1631C" w:rsidTr="006B04F1">
        <w:trPr>
          <w:trHeight w:val="300"/>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rPr>
                <w:rFonts w:ascii="Calibri" w:eastAsia="Times New Roman" w:hAnsi="Calibri" w:cs="Calibri"/>
                <w:color w:val="000000"/>
                <w:lang w:eastAsia="es-CL"/>
              </w:rPr>
            </w:pPr>
            <w:r w:rsidRPr="00C1631C">
              <w:rPr>
                <w:rFonts w:ascii="Calibri" w:eastAsia="Times New Roman" w:hAnsi="Calibri" w:cs="Calibri"/>
                <w:color w:val="000000"/>
                <w:lang w:eastAsia="es-CL"/>
              </w:rPr>
              <w:t>Maule</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3</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2,4</w:t>
            </w:r>
          </w:p>
        </w:tc>
        <w:tc>
          <w:tcPr>
            <w:tcW w:w="1618" w:type="dxa"/>
            <w:tcBorders>
              <w:top w:val="nil"/>
              <w:left w:val="nil"/>
              <w:bottom w:val="single" w:sz="4" w:space="0" w:color="auto"/>
              <w:right w:val="single" w:sz="8"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-0,6</w:t>
            </w:r>
          </w:p>
        </w:tc>
      </w:tr>
      <w:tr w:rsidR="00C1631C" w:rsidRPr="00C1631C" w:rsidTr="006B04F1">
        <w:trPr>
          <w:trHeight w:val="300"/>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rPr>
                <w:rFonts w:ascii="Calibri" w:eastAsia="Times New Roman" w:hAnsi="Calibri" w:cs="Calibri"/>
                <w:color w:val="000000"/>
                <w:lang w:eastAsia="es-CL"/>
              </w:rPr>
            </w:pPr>
            <w:r w:rsidRPr="00C1631C">
              <w:rPr>
                <w:rFonts w:ascii="Calibri" w:eastAsia="Times New Roman" w:hAnsi="Calibri" w:cs="Calibri"/>
                <w:color w:val="000000"/>
                <w:lang w:eastAsia="es-CL"/>
              </w:rPr>
              <w:t>Biobío</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3,2</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1,9</w:t>
            </w:r>
          </w:p>
        </w:tc>
        <w:tc>
          <w:tcPr>
            <w:tcW w:w="1618" w:type="dxa"/>
            <w:tcBorders>
              <w:top w:val="nil"/>
              <w:left w:val="nil"/>
              <w:bottom w:val="single" w:sz="4" w:space="0" w:color="auto"/>
              <w:right w:val="single" w:sz="8"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-1,4</w:t>
            </w:r>
          </w:p>
        </w:tc>
      </w:tr>
      <w:tr w:rsidR="00C1631C" w:rsidRPr="00C1631C" w:rsidTr="006B04F1">
        <w:trPr>
          <w:trHeight w:val="300"/>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rPr>
                <w:rFonts w:ascii="Calibri" w:eastAsia="Times New Roman" w:hAnsi="Calibri" w:cs="Calibri"/>
                <w:color w:val="000000"/>
                <w:lang w:eastAsia="es-CL"/>
              </w:rPr>
            </w:pPr>
            <w:r w:rsidRPr="00C1631C">
              <w:rPr>
                <w:rFonts w:ascii="Calibri" w:eastAsia="Times New Roman" w:hAnsi="Calibri" w:cs="Calibri"/>
                <w:color w:val="000000"/>
                <w:lang w:eastAsia="es-CL"/>
              </w:rPr>
              <w:t>La Araucanía</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3,8</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2,1</w:t>
            </w:r>
          </w:p>
        </w:tc>
        <w:tc>
          <w:tcPr>
            <w:tcW w:w="1618" w:type="dxa"/>
            <w:tcBorders>
              <w:top w:val="nil"/>
              <w:left w:val="nil"/>
              <w:bottom w:val="single" w:sz="4" w:space="0" w:color="auto"/>
              <w:right w:val="single" w:sz="8"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-1,7</w:t>
            </w:r>
          </w:p>
        </w:tc>
      </w:tr>
      <w:tr w:rsidR="00C1631C" w:rsidRPr="00C1631C" w:rsidTr="006B04F1">
        <w:trPr>
          <w:trHeight w:val="300"/>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rPr>
                <w:rFonts w:ascii="Calibri" w:eastAsia="Times New Roman" w:hAnsi="Calibri" w:cs="Calibri"/>
                <w:color w:val="000000"/>
                <w:lang w:eastAsia="es-CL"/>
              </w:rPr>
            </w:pPr>
            <w:r w:rsidRPr="00C1631C">
              <w:rPr>
                <w:rFonts w:ascii="Calibri" w:eastAsia="Times New Roman" w:hAnsi="Calibri" w:cs="Calibri"/>
                <w:color w:val="000000"/>
                <w:lang w:eastAsia="es-CL"/>
              </w:rPr>
              <w:t>Los Lagos</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1,3</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2,4</w:t>
            </w:r>
          </w:p>
        </w:tc>
        <w:tc>
          <w:tcPr>
            <w:tcW w:w="1618" w:type="dxa"/>
            <w:tcBorders>
              <w:top w:val="nil"/>
              <w:left w:val="nil"/>
              <w:bottom w:val="single" w:sz="4" w:space="0" w:color="auto"/>
              <w:right w:val="single" w:sz="8"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1,1</w:t>
            </w:r>
          </w:p>
        </w:tc>
      </w:tr>
      <w:tr w:rsidR="00C1631C" w:rsidRPr="00C1631C" w:rsidTr="006B04F1">
        <w:trPr>
          <w:trHeight w:val="300"/>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rPr>
                <w:rFonts w:ascii="Calibri" w:eastAsia="Times New Roman" w:hAnsi="Calibri" w:cs="Calibri"/>
                <w:color w:val="000000"/>
                <w:lang w:eastAsia="es-CL"/>
              </w:rPr>
            </w:pPr>
            <w:r w:rsidRPr="00C1631C">
              <w:rPr>
                <w:rFonts w:ascii="Calibri" w:eastAsia="Times New Roman" w:hAnsi="Calibri" w:cs="Calibri"/>
                <w:color w:val="000000"/>
                <w:lang w:eastAsia="es-CL"/>
              </w:rPr>
              <w:t>Aysén</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0,6</w:t>
            </w:r>
          </w:p>
        </w:tc>
        <w:tc>
          <w:tcPr>
            <w:tcW w:w="1587" w:type="dxa"/>
            <w:tcBorders>
              <w:top w:val="nil"/>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6,2</w:t>
            </w:r>
          </w:p>
        </w:tc>
        <w:tc>
          <w:tcPr>
            <w:tcW w:w="1618" w:type="dxa"/>
            <w:tcBorders>
              <w:top w:val="nil"/>
              <w:left w:val="nil"/>
              <w:bottom w:val="single" w:sz="4" w:space="0" w:color="auto"/>
              <w:right w:val="single" w:sz="8"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5,6</w:t>
            </w:r>
          </w:p>
        </w:tc>
      </w:tr>
      <w:tr w:rsidR="00C1631C" w:rsidRPr="00C1631C" w:rsidTr="006B04F1">
        <w:trPr>
          <w:trHeight w:val="300"/>
        </w:trPr>
        <w:tc>
          <w:tcPr>
            <w:tcW w:w="15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rPr>
                <w:rFonts w:ascii="Calibri" w:eastAsia="Times New Roman" w:hAnsi="Calibri" w:cs="Calibri"/>
                <w:color w:val="000000"/>
                <w:lang w:eastAsia="es-CL"/>
              </w:rPr>
            </w:pPr>
            <w:r w:rsidRPr="00C1631C">
              <w:rPr>
                <w:rFonts w:ascii="Calibri" w:eastAsia="Times New Roman" w:hAnsi="Calibri" w:cs="Calibri"/>
                <w:color w:val="000000"/>
                <w:lang w:eastAsia="es-CL"/>
              </w:rPr>
              <w:t>Magallanes</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0,8</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3,7</w:t>
            </w:r>
          </w:p>
        </w:tc>
        <w:tc>
          <w:tcPr>
            <w:tcW w:w="1618" w:type="dxa"/>
            <w:tcBorders>
              <w:top w:val="single" w:sz="4" w:space="0" w:color="auto"/>
              <w:left w:val="nil"/>
              <w:bottom w:val="single" w:sz="4" w:space="0" w:color="auto"/>
              <w:right w:val="single" w:sz="8" w:space="0" w:color="auto"/>
            </w:tcBorders>
            <w:shd w:val="clear" w:color="auto" w:fill="auto"/>
            <w:noWrap/>
            <w:vAlign w:val="bottom"/>
            <w:hideMark/>
          </w:tcPr>
          <w:p w:rsidR="00C1631C" w:rsidRPr="00C1631C" w:rsidRDefault="00C1631C" w:rsidP="00C1631C">
            <w:pPr>
              <w:spacing w:after="0" w:line="240" w:lineRule="auto"/>
              <w:jc w:val="center"/>
              <w:rPr>
                <w:rFonts w:ascii="Calibri" w:eastAsia="Times New Roman" w:hAnsi="Calibri" w:cs="Calibri"/>
                <w:color w:val="000000"/>
                <w:lang w:eastAsia="es-CL"/>
              </w:rPr>
            </w:pPr>
            <w:r w:rsidRPr="00C1631C">
              <w:rPr>
                <w:rFonts w:ascii="Calibri" w:eastAsia="Times New Roman" w:hAnsi="Calibri" w:cs="Calibri"/>
                <w:color w:val="000000"/>
                <w:lang w:eastAsia="es-CL"/>
              </w:rPr>
              <w:t>2,9</w:t>
            </w:r>
          </w:p>
        </w:tc>
      </w:tr>
      <w:tr w:rsidR="00C1631C" w:rsidRPr="00C1631C" w:rsidTr="006B04F1">
        <w:trPr>
          <w:trHeight w:val="567"/>
        </w:trPr>
        <w:tc>
          <w:tcPr>
            <w:tcW w:w="6379" w:type="dxa"/>
            <w:gridSpan w:val="4"/>
            <w:tcBorders>
              <w:top w:val="single" w:sz="4" w:space="0" w:color="auto"/>
            </w:tcBorders>
            <w:shd w:val="clear" w:color="auto" w:fill="auto"/>
            <w:vAlign w:val="center"/>
            <w:hideMark/>
          </w:tcPr>
          <w:p w:rsidR="00C1631C" w:rsidRPr="006F554E" w:rsidRDefault="00C1631C" w:rsidP="00C1631C">
            <w:pPr>
              <w:spacing w:after="0" w:line="240" w:lineRule="auto"/>
              <w:rPr>
                <w:rFonts w:ascii="Arial" w:eastAsia="Times New Roman" w:hAnsi="Arial" w:cs="Arial"/>
                <w:color w:val="000000"/>
                <w:sz w:val="14"/>
                <w:szCs w:val="14"/>
                <w:lang w:eastAsia="es-CL"/>
              </w:rPr>
            </w:pPr>
            <w:r w:rsidRPr="006F554E">
              <w:rPr>
                <w:rFonts w:ascii="Arial" w:eastAsia="Times New Roman" w:hAnsi="Arial" w:cs="Arial"/>
                <w:color w:val="000000"/>
                <w:sz w:val="14"/>
                <w:szCs w:val="14"/>
                <w:lang w:eastAsia="es-CL"/>
              </w:rPr>
              <w:t>Fuente: Atienza, M. y Aroca, P. "Concentración y Crecimiento en Chile: Una Relación Negativa Ignorada". EURE, vol 38 N° 114, Mayo 2012</w:t>
            </w:r>
          </w:p>
        </w:tc>
      </w:tr>
      <w:tr w:rsidR="00C1631C" w:rsidRPr="00C1631C" w:rsidTr="006B04F1">
        <w:trPr>
          <w:trHeight w:val="680"/>
        </w:trPr>
        <w:tc>
          <w:tcPr>
            <w:tcW w:w="6379" w:type="dxa"/>
            <w:gridSpan w:val="4"/>
            <w:shd w:val="clear" w:color="auto" w:fill="auto"/>
            <w:vAlign w:val="center"/>
            <w:hideMark/>
          </w:tcPr>
          <w:p w:rsidR="00C1631C" w:rsidRPr="006F554E" w:rsidRDefault="00C1631C" w:rsidP="00C1631C">
            <w:pPr>
              <w:spacing w:after="0" w:line="240" w:lineRule="auto"/>
              <w:rPr>
                <w:rFonts w:ascii="Arial" w:eastAsia="Times New Roman" w:hAnsi="Arial" w:cs="Arial"/>
                <w:color w:val="000000"/>
                <w:sz w:val="14"/>
                <w:szCs w:val="14"/>
                <w:lang w:eastAsia="es-CL"/>
              </w:rPr>
            </w:pPr>
            <w:r w:rsidRPr="006F554E">
              <w:rPr>
                <w:rFonts w:ascii="Arial" w:eastAsia="Times New Roman" w:hAnsi="Arial" w:cs="Arial"/>
                <w:color w:val="000000"/>
                <w:sz w:val="14"/>
                <w:szCs w:val="14"/>
                <w:lang w:eastAsia="es-CL"/>
              </w:rPr>
              <w:t xml:space="preserve">Nota: </w:t>
            </w:r>
            <w:r w:rsidRPr="006F554E">
              <w:rPr>
                <w:rFonts w:ascii="Arial" w:eastAsia="Times New Roman" w:hAnsi="Arial" w:cs="Arial"/>
                <w:color w:val="000000"/>
                <w:sz w:val="14"/>
                <w:szCs w:val="14"/>
                <w:lang w:eastAsia="es-CL"/>
              </w:rPr>
              <w:br/>
              <w:t>1. Se utilizan los datos del Censo 2002</w:t>
            </w:r>
            <w:r w:rsidRPr="006F554E">
              <w:rPr>
                <w:rFonts w:ascii="Arial" w:eastAsia="Times New Roman" w:hAnsi="Arial" w:cs="Arial"/>
                <w:color w:val="000000"/>
                <w:sz w:val="14"/>
                <w:szCs w:val="14"/>
                <w:lang w:eastAsia="es-CL"/>
              </w:rPr>
              <w:br/>
              <w:t>2. Se unen las regiones de Valparaíso y O’Higgins, con la región de Santiago por la existencia de una conmutación metropolitana</w:t>
            </w:r>
          </w:p>
        </w:tc>
      </w:tr>
    </w:tbl>
    <w:p w:rsidR="00C1631C" w:rsidRDefault="00C1631C" w:rsidP="000C1827">
      <w:pPr>
        <w:pStyle w:val="NormalWeb"/>
        <w:spacing w:before="0" w:beforeAutospacing="0" w:after="240" w:afterAutospacing="0" w:line="288" w:lineRule="auto"/>
        <w:jc w:val="both"/>
        <w:rPr>
          <w:rFonts w:ascii="Garamond" w:hAnsi="Garamond" w:cs="Arial"/>
        </w:rPr>
      </w:pPr>
    </w:p>
    <w:p w:rsidR="00743020" w:rsidRPr="00BE32AE" w:rsidRDefault="00B84B3C" w:rsidP="000C1827">
      <w:pPr>
        <w:pStyle w:val="NormalWeb"/>
        <w:spacing w:before="0" w:beforeAutospacing="0" w:after="240" w:afterAutospacing="0" w:line="288" w:lineRule="auto"/>
        <w:jc w:val="both"/>
        <w:rPr>
          <w:rFonts w:ascii="Garamond" w:hAnsi="Garamond" w:cs="Arial"/>
        </w:rPr>
      </w:pPr>
      <w:r>
        <w:rPr>
          <w:rFonts w:ascii="Garamond" w:hAnsi="Garamond" w:cs="Arial"/>
        </w:rPr>
        <w:t xml:space="preserve">Con respecto a la </w:t>
      </w:r>
      <w:r w:rsidR="00915962" w:rsidRPr="00BE32AE">
        <w:rPr>
          <w:rFonts w:ascii="Garamond" w:hAnsi="Garamond" w:cs="Arial"/>
        </w:rPr>
        <w:t>categor</w:t>
      </w:r>
      <w:r w:rsidR="001D1469" w:rsidRPr="00BE32AE">
        <w:rPr>
          <w:rFonts w:ascii="Garamond" w:hAnsi="Garamond" w:cs="Arial"/>
        </w:rPr>
        <w:t xml:space="preserve">ía ocupacional, el empleo </w:t>
      </w:r>
      <w:r w:rsidR="008E7D31" w:rsidRPr="00BE32AE">
        <w:rPr>
          <w:rFonts w:ascii="Garamond" w:hAnsi="Garamond" w:cs="Arial"/>
        </w:rPr>
        <w:t xml:space="preserve">se expande en mayor medida en los Asalariados, desde </w:t>
      </w:r>
      <w:r w:rsidR="00743020" w:rsidRPr="00BE32AE">
        <w:rPr>
          <w:rFonts w:ascii="Garamond" w:hAnsi="Garamond" w:cs="Arial"/>
        </w:rPr>
        <w:t xml:space="preserve">el </w:t>
      </w:r>
      <w:r w:rsidR="008E7D31" w:rsidRPr="00BE32AE">
        <w:rPr>
          <w:rFonts w:ascii="Garamond" w:hAnsi="Garamond" w:cs="Arial"/>
        </w:rPr>
        <w:t xml:space="preserve">63,5% </w:t>
      </w:r>
      <w:r w:rsidR="00743020" w:rsidRPr="00BE32AE">
        <w:rPr>
          <w:rFonts w:ascii="Garamond" w:hAnsi="Garamond" w:cs="Arial"/>
        </w:rPr>
        <w:t xml:space="preserve">de participación en el total, </w:t>
      </w:r>
      <w:r w:rsidR="008E7D31" w:rsidRPr="00BE32AE">
        <w:rPr>
          <w:rFonts w:ascii="Garamond" w:hAnsi="Garamond" w:cs="Arial"/>
        </w:rPr>
        <w:t>a 70,3%</w:t>
      </w:r>
      <w:r w:rsidR="00155B42">
        <w:rPr>
          <w:rFonts w:ascii="Garamond" w:hAnsi="Garamond" w:cs="Arial"/>
        </w:rPr>
        <w:t>;</w:t>
      </w:r>
      <w:r w:rsidR="008E7D31" w:rsidRPr="00BE32AE">
        <w:rPr>
          <w:rFonts w:ascii="Garamond" w:hAnsi="Garamond" w:cs="Arial"/>
        </w:rPr>
        <w:t xml:space="preserve"> y los Empleadores (3,3% a 4,1%); en desmedro de los Cuenta Propia, que caen desde 22% a 19,6%, al igual que el Personal de Servicio (6,7% a 4,6%) y los Familiares no remunerados (4,4% a 1,3%)</w:t>
      </w:r>
      <w:r w:rsidR="00BA0BF1" w:rsidRPr="00BE32AE">
        <w:rPr>
          <w:rFonts w:ascii="Garamond" w:hAnsi="Garamond" w:cs="Arial"/>
        </w:rPr>
        <w:t xml:space="preserve">. </w:t>
      </w:r>
      <w:r w:rsidR="00743020" w:rsidRPr="00BE32AE">
        <w:rPr>
          <w:rFonts w:ascii="Garamond" w:hAnsi="Garamond" w:cs="Arial"/>
        </w:rPr>
        <w:t xml:space="preserve">Estas variaciones indican una mayor formalización en la ocupación, por la existencia de contratos de trabajo, y el acceso a los sistemas previsionales y de seguros de salud. </w:t>
      </w:r>
    </w:p>
    <w:p w:rsidR="00743020" w:rsidRPr="00BE32AE" w:rsidRDefault="0059013D"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A nivel del consolidado de </w:t>
      </w:r>
      <w:r w:rsidR="00743020" w:rsidRPr="00BE32AE">
        <w:rPr>
          <w:rFonts w:ascii="Garamond" w:hAnsi="Garamond" w:cs="Arial"/>
        </w:rPr>
        <w:t xml:space="preserve">las regiones mineras, la participación de cada una de las categorías ocupacionales </w:t>
      </w:r>
      <w:r w:rsidR="00570F6D" w:rsidRPr="00BE32AE">
        <w:rPr>
          <w:rFonts w:ascii="Garamond" w:hAnsi="Garamond" w:cs="Arial"/>
        </w:rPr>
        <w:t xml:space="preserve">en el período de 1986 a 2012 </w:t>
      </w:r>
      <w:r w:rsidR="00743020" w:rsidRPr="00BE32AE">
        <w:rPr>
          <w:rFonts w:ascii="Garamond" w:hAnsi="Garamond" w:cs="Arial"/>
        </w:rPr>
        <w:t>crece</w:t>
      </w:r>
      <w:r w:rsidRPr="00BE32AE">
        <w:rPr>
          <w:rFonts w:ascii="Garamond" w:hAnsi="Garamond" w:cs="Arial"/>
        </w:rPr>
        <w:t xml:space="preserve"> con respecto al total del país, en 2,3 puntos porcentuales, en los Asalariados; en los Empleadores en 5,2 pp; en el Personal de Servicio, en 0,9 pp; y </w:t>
      </w:r>
      <w:r w:rsidR="00A06523" w:rsidRPr="00BE32AE">
        <w:rPr>
          <w:rFonts w:ascii="Garamond" w:hAnsi="Garamond" w:cs="Arial"/>
        </w:rPr>
        <w:t xml:space="preserve">en los Familiares no Remunerados, en 7,8 pp. La excepción se produce en los </w:t>
      </w:r>
      <w:r w:rsidRPr="00BE32AE">
        <w:rPr>
          <w:rFonts w:ascii="Garamond" w:hAnsi="Garamond" w:cs="Arial"/>
        </w:rPr>
        <w:t>Cuenta Propia</w:t>
      </w:r>
      <w:r w:rsidR="00A06523" w:rsidRPr="00BE32AE">
        <w:rPr>
          <w:rFonts w:ascii="Garamond" w:hAnsi="Garamond" w:cs="Arial"/>
        </w:rPr>
        <w:t xml:space="preserve"> de las 4 regiones, que reducen su participación en -0,5 pp. Al interior de la macro zona, que componen esas 4 regiones mineras, los Asalariados suben al 72% de participación, en 9,2 pp; </w:t>
      </w:r>
      <w:r w:rsidR="00570F6D" w:rsidRPr="00BE32AE">
        <w:rPr>
          <w:rFonts w:ascii="Garamond" w:hAnsi="Garamond" w:cs="Arial"/>
        </w:rPr>
        <w:t>y los Cuenta Propia, disminuyen a 19%, en -7,</w:t>
      </w:r>
      <w:r w:rsidR="00950D54" w:rsidRPr="00BE32AE">
        <w:rPr>
          <w:rFonts w:ascii="Garamond" w:hAnsi="Garamond" w:cs="Arial"/>
        </w:rPr>
        <w:t xml:space="preserve">1 pp. En la región </w:t>
      </w:r>
      <w:r w:rsidR="00EC7093">
        <w:rPr>
          <w:rFonts w:ascii="Garamond" w:hAnsi="Garamond" w:cs="Arial"/>
        </w:rPr>
        <w:t xml:space="preserve">de Antofagasta </w:t>
      </w:r>
      <w:r w:rsidR="00950D54" w:rsidRPr="00BE32AE">
        <w:rPr>
          <w:rFonts w:ascii="Garamond" w:hAnsi="Garamond" w:cs="Arial"/>
        </w:rPr>
        <w:t xml:space="preserve">se produce una mayor formalización del empleo, por el repunte de los Asalariados versus los Cuenta Propia, </w:t>
      </w:r>
      <w:r w:rsidR="00EC7093">
        <w:rPr>
          <w:rFonts w:ascii="Garamond" w:hAnsi="Garamond" w:cs="Arial"/>
        </w:rPr>
        <w:t xml:space="preserve">de </w:t>
      </w:r>
      <w:r w:rsidR="00950D54" w:rsidRPr="00BE32AE">
        <w:rPr>
          <w:rFonts w:ascii="Garamond" w:hAnsi="Garamond" w:cs="Arial"/>
        </w:rPr>
        <w:t xml:space="preserve">81% </w:t>
      </w:r>
      <w:r w:rsidR="00EC7093">
        <w:rPr>
          <w:rFonts w:ascii="Garamond" w:hAnsi="Garamond" w:cs="Arial"/>
        </w:rPr>
        <w:t xml:space="preserve">versus </w:t>
      </w:r>
      <w:r w:rsidR="00950D54" w:rsidRPr="00BE32AE">
        <w:rPr>
          <w:rFonts w:ascii="Garamond" w:hAnsi="Garamond" w:cs="Arial"/>
        </w:rPr>
        <w:t xml:space="preserve">13%, respectivamente; en segundo lugar </w:t>
      </w:r>
      <w:r w:rsidR="00EC7093">
        <w:rPr>
          <w:rFonts w:ascii="Garamond" w:hAnsi="Garamond" w:cs="Arial"/>
        </w:rPr>
        <w:t xml:space="preserve">se sitúa </w:t>
      </w:r>
      <w:r w:rsidR="00950D54" w:rsidRPr="00BE32AE">
        <w:rPr>
          <w:rFonts w:ascii="Garamond" w:hAnsi="Garamond" w:cs="Arial"/>
        </w:rPr>
        <w:t xml:space="preserve">Atacama </w:t>
      </w:r>
      <w:r w:rsidR="00EC7093">
        <w:rPr>
          <w:rFonts w:ascii="Garamond" w:hAnsi="Garamond" w:cs="Arial"/>
        </w:rPr>
        <w:t xml:space="preserve">con </w:t>
      </w:r>
      <w:r w:rsidR="00950D54" w:rsidRPr="00BE32AE">
        <w:rPr>
          <w:rFonts w:ascii="Garamond" w:hAnsi="Garamond" w:cs="Arial"/>
        </w:rPr>
        <w:t xml:space="preserve">75% y 19%; Coquimbo </w:t>
      </w:r>
      <w:r w:rsidR="00EC7093">
        <w:rPr>
          <w:rFonts w:ascii="Garamond" w:hAnsi="Garamond" w:cs="Arial"/>
        </w:rPr>
        <w:t xml:space="preserve">con </w:t>
      </w:r>
      <w:r w:rsidR="00950D54" w:rsidRPr="00BE32AE">
        <w:rPr>
          <w:rFonts w:ascii="Garamond" w:hAnsi="Garamond" w:cs="Arial"/>
        </w:rPr>
        <w:t xml:space="preserve">68% y 20%; y Tarapacá </w:t>
      </w:r>
      <w:r w:rsidR="00EC7093">
        <w:rPr>
          <w:rFonts w:ascii="Garamond" w:hAnsi="Garamond" w:cs="Arial"/>
        </w:rPr>
        <w:t xml:space="preserve">con </w:t>
      </w:r>
      <w:r w:rsidR="00950D54" w:rsidRPr="00BE32AE">
        <w:rPr>
          <w:rFonts w:ascii="Garamond" w:hAnsi="Garamond" w:cs="Arial"/>
        </w:rPr>
        <w:t>65% y 25%.</w:t>
      </w:r>
      <w:r w:rsidR="00155B42">
        <w:rPr>
          <w:rFonts w:ascii="Garamond" w:hAnsi="Garamond" w:cs="Arial"/>
        </w:rPr>
        <w:t xml:space="preserve"> Esta situación </w:t>
      </w:r>
      <w:r w:rsidR="002C3F25">
        <w:rPr>
          <w:rFonts w:ascii="Garamond" w:hAnsi="Garamond" w:cs="Arial"/>
        </w:rPr>
        <w:t>es reflejo de las diferentes actividades que se han establecido por la minería</w:t>
      </w:r>
      <w:r w:rsidR="00BA71BE">
        <w:rPr>
          <w:rFonts w:ascii="Garamond" w:hAnsi="Garamond" w:cs="Arial"/>
        </w:rPr>
        <w:t xml:space="preserve"> en estos 26 años</w:t>
      </w:r>
      <w:r w:rsidR="002C3F25">
        <w:rPr>
          <w:rFonts w:ascii="Garamond" w:hAnsi="Garamond" w:cs="Arial"/>
        </w:rPr>
        <w:t>.</w:t>
      </w:r>
    </w:p>
    <w:p w:rsidR="00950D54" w:rsidRPr="00BE32AE" w:rsidRDefault="001C2C03"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Por tamaño de la empresa, los ocupados en el país se distribuyen en un 33,7% en la gran empresa (200 y más trabajadores), 12,8% en la mediana empresa (entre 50 y 199 trabajadores), 14,9% en la pequeña empresa (entre 11 y 49 trabajadores), y 38,6% en la microempresa (1 a 10 trabajadores). Esta última categoría se divide entre </w:t>
      </w:r>
      <w:r w:rsidR="001F51CD" w:rsidRPr="00BE32AE">
        <w:rPr>
          <w:rFonts w:ascii="Garamond" w:hAnsi="Garamond" w:cs="Arial"/>
        </w:rPr>
        <w:t xml:space="preserve">menos de 5 trabajadores, que se considera equivalente a Cuenta Propia, y de 5 a 10, que ocupan al 31,5% y 7,1%, respectivamente. </w:t>
      </w:r>
      <w:r w:rsidR="00610B34" w:rsidRPr="00BE32AE">
        <w:rPr>
          <w:rFonts w:ascii="Garamond" w:hAnsi="Garamond" w:cs="Arial"/>
        </w:rPr>
        <w:t xml:space="preserve">En las regiones mineras existe una mayor proporción de empleos en la gran empresa, de 40,3%, que </w:t>
      </w:r>
      <w:r w:rsidR="004D4831" w:rsidRPr="00BE32AE">
        <w:rPr>
          <w:rFonts w:ascii="Garamond" w:hAnsi="Garamond" w:cs="Arial"/>
        </w:rPr>
        <w:t xml:space="preserve">resultan en </w:t>
      </w:r>
      <w:r w:rsidR="00610B34" w:rsidRPr="00BE32AE">
        <w:rPr>
          <w:rFonts w:ascii="Garamond" w:hAnsi="Garamond" w:cs="Arial"/>
        </w:rPr>
        <w:t xml:space="preserve">una diferencia </w:t>
      </w:r>
      <w:r w:rsidR="004D4831" w:rsidRPr="00BE32AE">
        <w:rPr>
          <w:rFonts w:ascii="Garamond" w:hAnsi="Garamond" w:cs="Arial"/>
        </w:rPr>
        <w:t xml:space="preserve">de </w:t>
      </w:r>
      <w:r w:rsidR="00610B34" w:rsidRPr="00BE32AE">
        <w:rPr>
          <w:rFonts w:ascii="Garamond" w:hAnsi="Garamond" w:cs="Arial"/>
        </w:rPr>
        <w:t>6,6 puntos porcentuales con</w:t>
      </w:r>
      <w:r w:rsidR="004D4831" w:rsidRPr="00BE32AE">
        <w:rPr>
          <w:rFonts w:ascii="Garamond" w:hAnsi="Garamond" w:cs="Arial"/>
        </w:rPr>
        <w:t xml:space="preserve"> respecto a</w:t>
      </w:r>
      <w:r w:rsidR="00B04CE9" w:rsidRPr="00BE32AE">
        <w:rPr>
          <w:rFonts w:ascii="Garamond" w:hAnsi="Garamond" w:cs="Arial"/>
        </w:rPr>
        <w:t xml:space="preserve">la participación de </w:t>
      </w:r>
      <w:r w:rsidR="00610B34" w:rsidRPr="00BE32AE">
        <w:rPr>
          <w:rFonts w:ascii="Garamond" w:hAnsi="Garamond" w:cs="Arial"/>
        </w:rPr>
        <w:t>todo el país</w:t>
      </w:r>
      <w:r w:rsidR="008604D9" w:rsidRPr="00BE32AE">
        <w:rPr>
          <w:rFonts w:ascii="Garamond" w:hAnsi="Garamond" w:cs="Arial"/>
        </w:rPr>
        <w:t>; y significa el 13,7%</w:t>
      </w:r>
      <w:r w:rsidR="004D4831" w:rsidRPr="00BE32AE">
        <w:rPr>
          <w:rFonts w:ascii="Garamond" w:hAnsi="Garamond" w:cs="Arial"/>
        </w:rPr>
        <w:t xml:space="preserve"> del total en dichas empresas.</w:t>
      </w:r>
      <w:r w:rsidR="00610B34" w:rsidRPr="00BE32AE">
        <w:rPr>
          <w:rFonts w:ascii="Garamond" w:hAnsi="Garamond" w:cs="Arial"/>
        </w:rPr>
        <w:t xml:space="preserve"> En el resto de las categorías de empresas tienen una menor contratación</w:t>
      </w:r>
      <w:r w:rsidR="00B04CE9" w:rsidRPr="00BE32AE">
        <w:rPr>
          <w:rFonts w:ascii="Garamond" w:hAnsi="Garamond" w:cs="Arial"/>
        </w:rPr>
        <w:t xml:space="preserve"> relativa, que a nivel nacional</w:t>
      </w:r>
      <w:r w:rsidR="008604D9" w:rsidRPr="00BE32AE">
        <w:rPr>
          <w:rFonts w:ascii="Garamond" w:hAnsi="Garamond" w:cs="Arial"/>
        </w:rPr>
        <w:t xml:space="preserve">, en un promedio de 1,7 puntos porcentuales. </w:t>
      </w:r>
    </w:p>
    <w:p w:rsidR="00A242E0" w:rsidRPr="00BE32AE" w:rsidRDefault="004D4831"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La ocupación </w:t>
      </w:r>
      <w:r w:rsidR="00B768A3" w:rsidRPr="00BE32AE">
        <w:rPr>
          <w:rFonts w:ascii="Garamond" w:hAnsi="Garamond" w:cs="Arial"/>
        </w:rPr>
        <w:t xml:space="preserve">por nivel de educación </w:t>
      </w:r>
      <w:r w:rsidR="00EC7093">
        <w:rPr>
          <w:rFonts w:ascii="Garamond" w:hAnsi="Garamond" w:cs="Arial"/>
        </w:rPr>
        <w:t xml:space="preserve">al interior de </w:t>
      </w:r>
      <w:r w:rsidR="00B768A3" w:rsidRPr="00BE32AE">
        <w:rPr>
          <w:rFonts w:ascii="Garamond" w:hAnsi="Garamond" w:cs="Arial"/>
        </w:rPr>
        <w:t xml:space="preserve">las regiones mineras se distribuye </w:t>
      </w:r>
      <w:r w:rsidR="00BB6699" w:rsidRPr="00BE32AE">
        <w:rPr>
          <w:rFonts w:ascii="Garamond" w:hAnsi="Garamond" w:cs="Arial"/>
        </w:rPr>
        <w:t xml:space="preserve">en primaria y sin educación, 20,4%, secundaria, 49,7% y terciaria (técnica, universitaria y postítulo), 29,9%. Y </w:t>
      </w:r>
      <w:r w:rsidR="00EC7093">
        <w:rPr>
          <w:rFonts w:ascii="Garamond" w:hAnsi="Garamond" w:cs="Arial"/>
        </w:rPr>
        <w:t xml:space="preserve">en el </w:t>
      </w:r>
      <w:r w:rsidR="00B768A3" w:rsidRPr="00BE32AE">
        <w:rPr>
          <w:rFonts w:ascii="Garamond" w:hAnsi="Garamond" w:cs="Arial"/>
        </w:rPr>
        <w:t>país,</w:t>
      </w:r>
      <w:r w:rsidR="00EE61A7" w:rsidRPr="00BE32AE">
        <w:rPr>
          <w:rFonts w:ascii="Garamond" w:hAnsi="Garamond" w:cs="Arial"/>
        </w:rPr>
        <w:t xml:space="preserve"> los ocupados con educación</w:t>
      </w:r>
      <w:r w:rsidR="00BB6699" w:rsidRPr="00BE32AE">
        <w:rPr>
          <w:rFonts w:ascii="Garamond" w:hAnsi="Garamond" w:cs="Arial"/>
        </w:rPr>
        <w:t xml:space="preserve"> primaria y sin estudios representa</w:t>
      </w:r>
      <w:r w:rsidR="00EE61A7" w:rsidRPr="00BE32AE">
        <w:rPr>
          <w:rFonts w:ascii="Garamond" w:hAnsi="Garamond" w:cs="Arial"/>
        </w:rPr>
        <w:t>n</w:t>
      </w:r>
      <w:r w:rsidR="00BB6699" w:rsidRPr="00BE32AE">
        <w:rPr>
          <w:rFonts w:ascii="Garamond" w:hAnsi="Garamond" w:cs="Arial"/>
        </w:rPr>
        <w:t xml:space="preserve"> el 9,7% del total nacional, fluctuando en un año desde el 8,8%, por efecto de la atracción de personas </w:t>
      </w:r>
      <w:r w:rsidR="00EE61A7" w:rsidRPr="00BE32AE">
        <w:rPr>
          <w:rFonts w:ascii="Garamond" w:hAnsi="Garamond" w:cs="Arial"/>
        </w:rPr>
        <w:t xml:space="preserve">hacia la pequeña minería, de baja calificación; con educación </w:t>
      </w:r>
      <w:r w:rsidR="00BB6699" w:rsidRPr="00BE32AE">
        <w:rPr>
          <w:rFonts w:ascii="Garamond" w:hAnsi="Garamond" w:cs="Arial"/>
        </w:rPr>
        <w:t>secundaria</w:t>
      </w:r>
      <w:r w:rsidR="00EE61A7" w:rsidRPr="00BE32AE">
        <w:rPr>
          <w:rFonts w:ascii="Garamond" w:hAnsi="Garamond" w:cs="Arial"/>
        </w:rPr>
        <w:t>,</w:t>
      </w:r>
      <w:r w:rsidR="00B768A3" w:rsidRPr="00BE32AE">
        <w:rPr>
          <w:rFonts w:ascii="Garamond" w:hAnsi="Garamond" w:cs="Arial"/>
        </w:rPr>
        <w:t xml:space="preserve">un </w:t>
      </w:r>
      <w:r w:rsidR="00EE61A7" w:rsidRPr="00BE32AE">
        <w:rPr>
          <w:rFonts w:ascii="Garamond" w:hAnsi="Garamond" w:cs="Arial"/>
        </w:rPr>
        <w:t xml:space="preserve">12,4%, sin variaciones significativas; y con educación terciaria, 10,8% del total </w:t>
      </w:r>
      <w:r w:rsidR="00A242E0" w:rsidRPr="00BE32AE">
        <w:rPr>
          <w:rFonts w:ascii="Garamond" w:hAnsi="Garamond" w:cs="Arial"/>
        </w:rPr>
        <w:t xml:space="preserve">de ocupados en esa categoría. Este último se divide entre educación técnica, 10,1%, universitaria, 11,8%, con postítulo, 4,7% y con doctorado, 4,4%. Cabe señalar que los ocupados con </w:t>
      </w:r>
      <w:r w:rsidR="00170D7D" w:rsidRPr="00BE32AE">
        <w:rPr>
          <w:rFonts w:ascii="Garamond" w:hAnsi="Garamond" w:cs="Arial"/>
        </w:rPr>
        <w:t xml:space="preserve">doctorado y </w:t>
      </w:r>
      <w:r w:rsidR="00A242E0" w:rsidRPr="00BE32AE">
        <w:rPr>
          <w:rFonts w:ascii="Garamond" w:hAnsi="Garamond" w:cs="Arial"/>
        </w:rPr>
        <w:t xml:space="preserve">postitulo disminuyen en </w:t>
      </w:r>
      <w:r w:rsidR="00170D7D" w:rsidRPr="00BE32AE">
        <w:rPr>
          <w:rFonts w:ascii="Garamond" w:hAnsi="Garamond" w:cs="Arial"/>
        </w:rPr>
        <w:t xml:space="preserve">7,2 </w:t>
      </w:r>
      <w:r w:rsidR="00A242E0" w:rsidRPr="00BE32AE">
        <w:rPr>
          <w:rFonts w:ascii="Garamond" w:hAnsi="Garamond" w:cs="Arial"/>
        </w:rPr>
        <w:t>punto</w:t>
      </w:r>
      <w:r w:rsidR="00170D7D" w:rsidRPr="00BE32AE">
        <w:rPr>
          <w:rFonts w:ascii="Garamond" w:hAnsi="Garamond" w:cs="Arial"/>
        </w:rPr>
        <w:t>s</w:t>
      </w:r>
      <w:r w:rsidR="00A242E0" w:rsidRPr="00BE32AE">
        <w:rPr>
          <w:rFonts w:ascii="Garamond" w:hAnsi="Garamond" w:cs="Arial"/>
        </w:rPr>
        <w:t xml:space="preserve"> porcentual</w:t>
      </w:r>
      <w:r w:rsidR="00170D7D" w:rsidRPr="00BE32AE">
        <w:rPr>
          <w:rFonts w:ascii="Garamond" w:hAnsi="Garamond" w:cs="Arial"/>
        </w:rPr>
        <w:t>es</w:t>
      </w:r>
      <w:r w:rsidR="00A242E0" w:rsidRPr="00BE32AE">
        <w:rPr>
          <w:rFonts w:ascii="Garamond" w:hAnsi="Garamond" w:cs="Arial"/>
        </w:rPr>
        <w:t xml:space="preserve"> y </w:t>
      </w:r>
      <w:r w:rsidR="00170D7D" w:rsidRPr="00BE32AE">
        <w:rPr>
          <w:rFonts w:ascii="Garamond" w:hAnsi="Garamond" w:cs="Arial"/>
        </w:rPr>
        <w:t xml:space="preserve">1 </w:t>
      </w:r>
      <w:r w:rsidR="00A242E0" w:rsidRPr="00BE32AE">
        <w:rPr>
          <w:rFonts w:ascii="Garamond" w:hAnsi="Garamond" w:cs="Arial"/>
        </w:rPr>
        <w:t>pp, respectivamente, en un año, entre 2011 y 2012</w:t>
      </w:r>
      <w:r w:rsidR="00170D7D" w:rsidRPr="00BE32AE">
        <w:rPr>
          <w:rFonts w:ascii="Garamond" w:hAnsi="Garamond" w:cs="Arial"/>
        </w:rPr>
        <w:t xml:space="preserve">.  Aquello es </w:t>
      </w:r>
      <w:r w:rsidR="00A242E0" w:rsidRPr="00BE32AE">
        <w:rPr>
          <w:rFonts w:ascii="Garamond" w:hAnsi="Garamond" w:cs="Arial"/>
        </w:rPr>
        <w:t>derivado de la gran temporalidad de los trabajos con alta calificación en esas regiones, que se relacionan con la realización de proyectos de inversión</w:t>
      </w:r>
      <w:r w:rsidR="00170D7D" w:rsidRPr="00BE32AE">
        <w:rPr>
          <w:rFonts w:ascii="Garamond" w:hAnsi="Garamond" w:cs="Arial"/>
        </w:rPr>
        <w:t>, y los cuales no establecen una masa crítica altamente califica</w:t>
      </w:r>
      <w:r w:rsidR="005669DA" w:rsidRPr="00BE32AE">
        <w:rPr>
          <w:rFonts w:ascii="Garamond" w:hAnsi="Garamond" w:cs="Arial"/>
        </w:rPr>
        <w:t>da</w:t>
      </w:r>
      <w:r w:rsidR="00D87796">
        <w:rPr>
          <w:rFonts w:ascii="Garamond" w:hAnsi="Garamond" w:cs="Arial"/>
        </w:rPr>
        <w:t xml:space="preserve">en forma permanente, que es necesaria para </w:t>
      </w:r>
      <w:r w:rsidR="00170D7D" w:rsidRPr="00BE32AE">
        <w:rPr>
          <w:rFonts w:ascii="Garamond" w:hAnsi="Garamond" w:cs="Arial"/>
        </w:rPr>
        <w:t xml:space="preserve">para </w:t>
      </w:r>
      <w:r w:rsidR="00D87796">
        <w:rPr>
          <w:rFonts w:ascii="Garamond" w:hAnsi="Garamond" w:cs="Arial"/>
        </w:rPr>
        <w:t xml:space="preserve">poder generar mayor </w:t>
      </w:r>
      <w:r w:rsidR="00170D7D" w:rsidRPr="00BE32AE">
        <w:rPr>
          <w:rFonts w:ascii="Garamond" w:hAnsi="Garamond" w:cs="Arial"/>
        </w:rPr>
        <w:t xml:space="preserve">innovación </w:t>
      </w:r>
      <w:r w:rsidR="00D87796">
        <w:rPr>
          <w:rFonts w:ascii="Garamond" w:hAnsi="Garamond" w:cs="Arial"/>
        </w:rPr>
        <w:t>y</w:t>
      </w:r>
      <w:r w:rsidR="00170D7D" w:rsidRPr="00BE32AE">
        <w:rPr>
          <w:rFonts w:ascii="Garamond" w:hAnsi="Garamond" w:cs="Arial"/>
        </w:rPr>
        <w:t xml:space="preserve"> emprendimiento</w:t>
      </w:r>
      <w:r w:rsidR="00A242E0" w:rsidRPr="00BE32AE">
        <w:rPr>
          <w:rFonts w:ascii="Garamond" w:hAnsi="Garamond" w:cs="Arial"/>
        </w:rPr>
        <w:t xml:space="preserve">. </w:t>
      </w:r>
    </w:p>
    <w:p w:rsidR="005409F0" w:rsidRPr="00BE32AE" w:rsidRDefault="005669DA"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El ingreso de los ocupados</w:t>
      </w:r>
      <w:r w:rsidR="00C5108C" w:rsidRPr="00BE32AE">
        <w:rPr>
          <w:rStyle w:val="Refdenotaalpie"/>
          <w:rFonts w:ascii="Garamond" w:hAnsi="Garamond" w:cs="Arial"/>
        </w:rPr>
        <w:footnoteReference w:id="28"/>
      </w:r>
      <w:r w:rsidRPr="00BE32AE">
        <w:rPr>
          <w:rFonts w:ascii="Garamond" w:hAnsi="Garamond" w:cs="Arial"/>
        </w:rPr>
        <w:t xml:space="preserve"> entre el año </w:t>
      </w:r>
      <w:r w:rsidR="007819B4" w:rsidRPr="00BE32AE">
        <w:rPr>
          <w:rFonts w:ascii="Garamond" w:hAnsi="Garamond" w:cs="Arial"/>
        </w:rPr>
        <w:t>2000</w:t>
      </w:r>
      <w:r w:rsidRPr="00BE32AE">
        <w:rPr>
          <w:rFonts w:ascii="Garamond" w:hAnsi="Garamond" w:cs="Arial"/>
        </w:rPr>
        <w:t xml:space="preserve"> y 2010 crece un </w:t>
      </w:r>
      <w:r w:rsidR="007819B4" w:rsidRPr="00BE32AE">
        <w:rPr>
          <w:rFonts w:ascii="Garamond" w:hAnsi="Garamond" w:cs="Arial"/>
        </w:rPr>
        <w:t>2</w:t>
      </w:r>
      <w:r w:rsidR="00C5108C" w:rsidRPr="00BE32AE">
        <w:rPr>
          <w:rFonts w:ascii="Garamond" w:hAnsi="Garamond" w:cs="Arial"/>
        </w:rPr>
        <w:t>2</w:t>
      </w:r>
      <w:r w:rsidRPr="00BE32AE">
        <w:rPr>
          <w:rFonts w:ascii="Garamond" w:hAnsi="Garamond" w:cs="Arial"/>
        </w:rPr>
        <w:t xml:space="preserve">% </w:t>
      </w:r>
      <w:r w:rsidR="00C5108C" w:rsidRPr="00BE32AE">
        <w:rPr>
          <w:rFonts w:ascii="Garamond" w:hAnsi="Garamond" w:cs="Arial"/>
        </w:rPr>
        <w:t xml:space="preserve">en términos reales </w:t>
      </w:r>
      <w:r w:rsidRPr="00BE32AE">
        <w:rPr>
          <w:rFonts w:ascii="Garamond" w:hAnsi="Garamond" w:cs="Arial"/>
        </w:rPr>
        <w:t>en el país</w:t>
      </w:r>
      <w:r w:rsidR="00AA18B7" w:rsidRPr="00BE32AE">
        <w:rPr>
          <w:rFonts w:ascii="Garamond" w:hAnsi="Garamond" w:cs="Arial"/>
        </w:rPr>
        <w:t xml:space="preserve"> (28% para los hombres y 16,8% para las mujeres)</w:t>
      </w:r>
      <w:r w:rsidRPr="00BE32AE">
        <w:rPr>
          <w:rFonts w:ascii="Garamond" w:hAnsi="Garamond" w:cs="Arial"/>
        </w:rPr>
        <w:t xml:space="preserve">, </w:t>
      </w:r>
      <w:r w:rsidR="007E3252" w:rsidRPr="00BE32AE">
        <w:rPr>
          <w:rFonts w:ascii="Garamond" w:hAnsi="Garamond" w:cs="Arial"/>
        </w:rPr>
        <w:t xml:space="preserve">siendo liderado por Magallanes, con un </w:t>
      </w:r>
      <w:r w:rsidR="00AA18B7" w:rsidRPr="00BE32AE">
        <w:rPr>
          <w:rFonts w:ascii="Garamond" w:hAnsi="Garamond" w:cs="Arial"/>
        </w:rPr>
        <w:t>88,9% de incremento</w:t>
      </w:r>
      <w:r w:rsidR="004016B3" w:rsidRPr="00BE32AE">
        <w:rPr>
          <w:rFonts w:ascii="Garamond" w:hAnsi="Garamond" w:cs="Arial"/>
        </w:rPr>
        <w:t xml:space="preserve">, y </w:t>
      </w:r>
      <w:r w:rsidR="00AA18B7" w:rsidRPr="00BE32AE">
        <w:rPr>
          <w:rFonts w:ascii="Garamond" w:hAnsi="Garamond" w:cs="Arial"/>
        </w:rPr>
        <w:t>Valparaiso, en el menor nivel, con 10%.</w:t>
      </w:r>
      <w:r w:rsidR="004016B3" w:rsidRPr="00BE32AE">
        <w:rPr>
          <w:rFonts w:ascii="Garamond" w:hAnsi="Garamond" w:cs="Arial"/>
        </w:rPr>
        <w:t xml:space="preserve"> Las regiones mineras tienen un promedio simple de 33%</w:t>
      </w:r>
      <w:r w:rsidR="00B7423F" w:rsidRPr="00BE32AE">
        <w:rPr>
          <w:rFonts w:ascii="Garamond" w:hAnsi="Garamond" w:cs="Arial"/>
        </w:rPr>
        <w:t xml:space="preserve"> (44% para los hombres y 21% para las mujeres)</w:t>
      </w:r>
      <w:r w:rsidR="004016B3" w:rsidRPr="00BE32AE">
        <w:rPr>
          <w:rFonts w:ascii="Garamond" w:hAnsi="Garamond" w:cs="Arial"/>
        </w:rPr>
        <w:t xml:space="preserve">, que lo encabeza Coquimbo, en el </w:t>
      </w:r>
      <w:r w:rsidR="00AA18B7" w:rsidRPr="00BE32AE">
        <w:rPr>
          <w:rFonts w:ascii="Garamond" w:hAnsi="Garamond" w:cs="Arial"/>
        </w:rPr>
        <w:t>3</w:t>
      </w:r>
      <w:r w:rsidR="004016B3" w:rsidRPr="00BE32AE">
        <w:rPr>
          <w:rFonts w:ascii="Garamond" w:hAnsi="Garamond" w:cs="Arial"/>
        </w:rPr>
        <w:t xml:space="preserve">º lugar </w:t>
      </w:r>
      <w:r w:rsidR="00AA18B7" w:rsidRPr="00BE32AE">
        <w:rPr>
          <w:rFonts w:ascii="Garamond" w:hAnsi="Garamond" w:cs="Arial"/>
        </w:rPr>
        <w:t xml:space="preserve">del país </w:t>
      </w:r>
      <w:r w:rsidR="004016B3" w:rsidRPr="00BE32AE">
        <w:rPr>
          <w:rFonts w:ascii="Garamond" w:hAnsi="Garamond" w:cs="Arial"/>
        </w:rPr>
        <w:t>(</w:t>
      </w:r>
      <w:r w:rsidR="00AA18B7" w:rsidRPr="00BE32AE">
        <w:rPr>
          <w:rFonts w:ascii="Garamond" w:hAnsi="Garamond" w:cs="Arial"/>
        </w:rPr>
        <w:t>37</w:t>
      </w:r>
      <w:r w:rsidR="004016B3" w:rsidRPr="00BE32AE">
        <w:rPr>
          <w:rFonts w:ascii="Garamond" w:hAnsi="Garamond" w:cs="Arial"/>
        </w:rPr>
        <w:t xml:space="preserve">%), </w:t>
      </w:r>
      <w:r w:rsidR="00B7423F" w:rsidRPr="00BE32AE">
        <w:rPr>
          <w:rFonts w:ascii="Garamond" w:hAnsi="Garamond" w:cs="Arial"/>
        </w:rPr>
        <w:t>4</w:t>
      </w:r>
      <w:r w:rsidR="004016B3" w:rsidRPr="00BE32AE">
        <w:rPr>
          <w:rFonts w:ascii="Garamond" w:hAnsi="Garamond" w:cs="Arial"/>
        </w:rPr>
        <w:t xml:space="preserve">º </w:t>
      </w:r>
      <w:r w:rsidR="00B7423F" w:rsidRPr="00BE32AE">
        <w:rPr>
          <w:rFonts w:ascii="Garamond" w:hAnsi="Garamond" w:cs="Arial"/>
        </w:rPr>
        <w:t>lugar Atacama</w:t>
      </w:r>
      <w:r w:rsidR="004016B3" w:rsidRPr="00BE32AE">
        <w:rPr>
          <w:rFonts w:ascii="Garamond" w:hAnsi="Garamond" w:cs="Arial"/>
        </w:rPr>
        <w:t xml:space="preserve"> (</w:t>
      </w:r>
      <w:r w:rsidR="00B7423F" w:rsidRPr="00BE32AE">
        <w:rPr>
          <w:rFonts w:ascii="Garamond" w:hAnsi="Garamond" w:cs="Arial"/>
        </w:rPr>
        <w:t>36</w:t>
      </w:r>
      <w:r w:rsidR="004016B3" w:rsidRPr="00BE32AE">
        <w:rPr>
          <w:rFonts w:ascii="Garamond" w:hAnsi="Garamond" w:cs="Arial"/>
        </w:rPr>
        <w:t xml:space="preserve">%), </w:t>
      </w:r>
      <w:r w:rsidR="00B7423F" w:rsidRPr="00BE32AE">
        <w:rPr>
          <w:rFonts w:ascii="Garamond" w:hAnsi="Garamond" w:cs="Arial"/>
        </w:rPr>
        <w:t>5</w:t>
      </w:r>
      <w:r w:rsidR="004016B3" w:rsidRPr="00BE32AE">
        <w:rPr>
          <w:rFonts w:ascii="Garamond" w:hAnsi="Garamond" w:cs="Arial"/>
        </w:rPr>
        <w:t xml:space="preserve">º </w:t>
      </w:r>
      <w:r w:rsidR="00B7423F" w:rsidRPr="00BE32AE">
        <w:rPr>
          <w:rFonts w:ascii="Garamond" w:hAnsi="Garamond" w:cs="Arial"/>
        </w:rPr>
        <w:t>Antofagasta</w:t>
      </w:r>
      <w:r w:rsidR="004016B3" w:rsidRPr="00BE32AE">
        <w:rPr>
          <w:rFonts w:ascii="Garamond" w:hAnsi="Garamond" w:cs="Arial"/>
        </w:rPr>
        <w:t xml:space="preserve"> (</w:t>
      </w:r>
      <w:r w:rsidR="00B7423F" w:rsidRPr="00BE32AE">
        <w:rPr>
          <w:rFonts w:ascii="Garamond" w:hAnsi="Garamond" w:cs="Arial"/>
        </w:rPr>
        <w:t>36</w:t>
      </w:r>
      <w:r w:rsidR="004016B3" w:rsidRPr="00BE32AE">
        <w:rPr>
          <w:rFonts w:ascii="Garamond" w:hAnsi="Garamond" w:cs="Arial"/>
        </w:rPr>
        <w:t xml:space="preserve">%) y </w:t>
      </w:r>
      <w:r w:rsidR="00B7423F" w:rsidRPr="00BE32AE">
        <w:rPr>
          <w:rFonts w:ascii="Garamond" w:hAnsi="Garamond" w:cs="Arial"/>
        </w:rPr>
        <w:t>7</w:t>
      </w:r>
      <w:r w:rsidR="004016B3" w:rsidRPr="00BE32AE">
        <w:rPr>
          <w:rFonts w:ascii="Garamond" w:hAnsi="Garamond" w:cs="Arial"/>
        </w:rPr>
        <w:t>º Tarapacá (</w:t>
      </w:r>
      <w:r w:rsidR="00B7423F" w:rsidRPr="00BE32AE">
        <w:rPr>
          <w:rFonts w:ascii="Garamond" w:hAnsi="Garamond" w:cs="Arial"/>
        </w:rPr>
        <w:t>26</w:t>
      </w:r>
      <w:r w:rsidR="004016B3" w:rsidRPr="00BE32AE">
        <w:rPr>
          <w:rFonts w:ascii="Garamond" w:hAnsi="Garamond" w:cs="Arial"/>
        </w:rPr>
        <w:t xml:space="preserve">%). </w:t>
      </w:r>
      <w:r w:rsidR="00B7423F" w:rsidRPr="00BE32AE">
        <w:rPr>
          <w:rFonts w:ascii="Garamond" w:hAnsi="Garamond" w:cs="Arial"/>
        </w:rPr>
        <w:t xml:space="preserve">De acuerdo a las edades de los trabajadores, en estas regiones, en el tramo </w:t>
      </w:r>
      <w:r w:rsidR="005409F0" w:rsidRPr="00BE32AE">
        <w:rPr>
          <w:rFonts w:ascii="Garamond" w:hAnsi="Garamond" w:cs="Arial"/>
        </w:rPr>
        <w:t xml:space="preserve">de 30 a 34 años, se alcanzan las mayores variaciones de 54% en promedio; en cambio en todo el país, entre 25 y 29 años, de 39%. </w:t>
      </w:r>
      <w:r w:rsidR="00C05774" w:rsidRPr="00BE32AE">
        <w:rPr>
          <w:rFonts w:ascii="Garamond" w:hAnsi="Garamond" w:cs="Arial"/>
        </w:rPr>
        <w:t xml:space="preserve"> Y p</w:t>
      </w:r>
      <w:r w:rsidR="00CA3C77" w:rsidRPr="00BE32AE">
        <w:rPr>
          <w:rFonts w:ascii="Garamond" w:hAnsi="Garamond" w:cs="Arial"/>
        </w:rPr>
        <w:t xml:space="preserve">or categoría de la ocupación, crecen el ingreso de los asalariados en el sector privado en las 4 regiones mineras, por sobre el resto del país, en 42,5% versus 22,3%; mientras los cuenta propia suben menos que el global del país, en 9,5% versus 10,3%. </w:t>
      </w:r>
      <w:r w:rsidR="00C05774" w:rsidRPr="00BE32AE">
        <w:rPr>
          <w:rFonts w:ascii="Garamond" w:hAnsi="Garamond" w:cs="Arial"/>
        </w:rPr>
        <w:t>Esto se corrobora con el mayor empleo generado en los asalariados</w:t>
      </w:r>
      <w:r w:rsidR="003C204E" w:rsidRPr="00BE32AE">
        <w:rPr>
          <w:rFonts w:ascii="Garamond" w:hAnsi="Garamond" w:cs="Arial"/>
        </w:rPr>
        <w:t>, que supera en más de 100 puntos porcentuales en las regiones mineras, y 60 pp</w:t>
      </w:r>
      <w:r w:rsidR="000501E8">
        <w:rPr>
          <w:rFonts w:ascii="Garamond" w:hAnsi="Garamond" w:cs="Arial"/>
        </w:rPr>
        <w:t xml:space="preserve">en </w:t>
      </w:r>
      <w:r w:rsidR="003C204E" w:rsidRPr="00BE32AE">
        <w:rPr>
          <w:rFonts w:ascii="Garamond" w:hAnsi="Garamond" w:cs="Arial"/>
        </w:rPr>
        <w:t>todo el país.</w:t>
      </w:r>
      <w:r w:rsidR="00953FD4">
        <w:rPr>
          <w:rFonts w:ascii="Garamond" w:hAnsi="Garamond" w:cs="Arial"/>
        </w:rPr>
        <w:t xml:space="preserve"> Aquello señala los m</w:t>
      </w:r>
      <w:r w:rsidR="00E06E38">
        <w:rPr>
          <w:rFonts w:ascii="Garamond" w:hAnsi="Garamond" w:cs="Arial"/>
        </w:rPr>
        <w:t xml:space="preserve">ayor </w:t>
      </w:r>
      <w:r w:rsidR="00953FD4">
        <w:rPr>
          <w:rFonts w:ascii="Garamond" w:hAnsi="Garamond" w:cs="Arial"/>
        </w:rPr>
        <w:t>formalización en los empleos que se produce en las regiones</w:t>
      </w:r>
      <w:r w:rsidR="009E714E">
        <w:rPr>
          <w:rFonts w:ascii="Garamond" w:hAnsi="Garamond" w:cs="Arial"/>
        </w:rPr>
        <w:t xml:space="preserve">, que está acompañado de mejores salarios. </w:t>
      </w:r>
    </w:p>
    <w:p w:rsidR="005409F0" w:rsidRPr="00BE32AE" w:rsidRDefault="005409F0" w:rsidP="000C1827">
      <w:pPr>
        <w:pStyle w:val="NormalWeb"/>
        <w:spacing w:before="0" w:beforeAutospacing="0" w:after="240" w:afterAutospacing="0" w:line="288" w:lineRule="auto"/>
        <w:jc w:val="both"/>
        <w:rPr>
          <w:rFonts w:ascii="Garamond" w:hAnsi="Garamond" w:cs="Arial"/>
        </w:rPr>
      </w:pPr>
    </w:p>
    <w:p w:rsidR="003C204E" w:rsidRPr="00BE32AE" w:rsidRDefault="003C204E" w:rsidP="000C1827">
      <w:pPr>
        <w:pStyle w:val="NormalWeb"/>
        <w:numPr>
          <w:ilvl w:val="0"/>
          <w:numId w:val="8"/>
        </w:numPr>
        <w:tabs>
          <w:tab w:val="left" w:pos="567"/>
        </w:tabs>
        <w:spacing w:before="0" w:beforeAutospacing="0" w:after="240" w:afterAutospacing="0" w:line="288" w:lineRule="auto"/>
        <w:ind w:left="0" w:firstLine="0"/>
        <w:jc w:val="both"/>
        <w:rPr>
          <w:rFonts w:ascii="Garamond" w:hAnsi="Garamond" w:cs="Arial"/>
          <w:b/>
        </w:rPr>
      </w:pPr>
      <w:r w:rsidRPr="00BE32AE">
        <w:rPr>
          <w:rFonts w:ascii="Garamond" w:hAnsi="Garamond" w:cs="Arial"/>
          <w:b/>
        </w:rPr>
        <w:t>Exportaciones</w:t>
      </w:r>
    </w:p>
    <w:p w:rsidR="005909F6" w:rsidRPr="00BE32AE" w:rsidRDefault="003C204E" w:rsidP="000C1827">
      <w:pPr>
        <w:tabs>
          <w:tab w:val="left" w:pos="-1701"/>
          <w:tab w:val="left" w:pos="3119"/>
        </w:tabs>
        <w:spacing w:after="240" w:line="288" w:lineRule="auto"/>
        <w:jc w:val="both"/>
        <w:rPr>
          <w:rFonts w:ascii="Garamond" w:hAnsi="Garamond" w:cs="Arial"/>
          <w:b/>
          <w:sz w:val="24"/>
          <w:szCs w:val="24"/>
        </w:rPr>
      </w:pPr>
      <w:r w:rsidRPr="00BE32AE">
        <w:rPr>
          <w:rFonts w:ascii="Garamond" w:hAnsi="Garamond" w:cs="Arial"/>
          <w:sz w:val="24"/>
          <w:szCs w:val="24"/>
        </w:rPr>
        <w:t xml:space="preserve">Las exportaciones de Chile en el 2012 fueron de 76.748 millones de dólares, </w:t>
      </w:r>
      <w:r w:rsidR="00FF34FF" w:rsidRPr="00BE32AE">
        <w:rPr>
          <w:rFonts w:ascii="Garamond" w:hAnsi="Garamond" w:cs="Arial"/>
          <w:sz w:val="24"/>
          <w:szCs w:val="24"/>
        </w:rPr>
        <w:t>apreciándose una caída de 5% en relación al 2011; los cuales son afectados por un menor precio del cobre de 9,9% para ese período, dada la alta participación de ese producto, de 5</w:t>
      </w:r>
      <w:r w:rsidR="00AD00F7" w:rsidRPr="00BE32AE">
        <w:rPr>
          <w:rFonts w:ascii="Garamond" w:hAnsi="Garamond" w:cs="Arial"/>
          <w:sz w:val="24"/>
          <w:szCs w:val="24"/>
        </w:rPr>
        <w:t>4</w:t>
      </w:r>
      <w:r w:rsidR="00FF34FF" w:rsidRPr="00BE32AE">
        <w:rPr>
          <w:rFonts w:ascii="Garamond" w:hAnsi="Garamond" w:cs="Arial"/>
          <w:sz w:val="24"/>
          <w:szCs w:val="24"/>
        </w:rPr>
        <w:t xml:space="preserve">% en el último año. </w:t>
      </w:r>
      <w:r w:rsidR="00227B19" w:rsidRPr="00BE32AE">
        <w:rPr>
          <w:rFonts w:ascii="Garamond" w:hAnsi="Garamond" w:cs="Arial"/>
          <w:sz w:val="24"/>
          <w:szCs w:val="24"/>
        </w:rPr>
        <w:t>En los últimos 21 años (1991</w:t>
      </w:r>
      <w:r w:rsidR="00AD00F7" w:rsidRPr="00BE32AE">
        <w:rPr>
          <w:rFonts w:ascii="Garamond" w:hAnsi="Garamond" w:cs="Arial"/>
          <w:sz w:val="24"/>
          <w:szCs w:val="24"/>
        </w:rPr>
        <w:t>-2012</w:t>
      </w:r>
      <w:r w:rsidR="00227B19" w:rsidRPr="00BE32AE">
        <w:rPr>
          <w:rFonts w:ascii="Garamond" w:hAnsi="Garamond" w:cs="Arial"/>
          <w:sz w:val="24"/>
          <w:szCs w:val="24"/>
        </w:rPr>
        <w:t xml:space="preserve">) las exportaciones han tenido un alto crecimiento desde </w:t>
      </w:r>
      <w:r w:rsidR="00FF34FF" w:rsidRPr="00BE32AE">
        <w:rPr>
          <w:rFonts w:ascii="Garamond" w:hAnsi="Garamond" w:cs="Arial"/>
          <w:sz w:val="24"/>
          <w:szCs w:val="24"/>
        </w:rPr>
        <w:t xml:space="preserve">9.112 millones, </w:t>
      </w:r>
      <w:r w:rsidR="00227B19" w:rsidRPr="00BE32AE">
        <w:rPr>
          <w:rFonts w:ascii="Garamond" w:hAnsi="Garamond" w:cs="Arial"/>
          <w:sz w:val="24"/>
          <w:szCs w:val="24"/>
        </w:rPr>
        <w:t xml:space="preserve">que significan un crecimiento de 742%, equivalente a 8,5% anual. </w:t>
      </w:r>
    </w:p>
    <w:p w:rsidR="003D1EB7" w:rsidRPr="00BE32AE" w:rsidRDefault="003D1EB7" w:rsidP="000C1827">
      <w:pPr>
        <w:spacing w:after="240" w:line="288" w:lineRule="auto"/>
        <w:jc w:val="both"/>
        <w:rPr>
          <w:rFonts w:ascii="Garamond" w:hAnsi="Garamond" w:cs="Arial"/>
          <w:sz w:val="24"/>
          <w:szCs w:val="24"/>
        </w:rPr>
      </w:pPr>
      <w:r w:rsidRPr="00BE32AE">
        <w:rPr>
          <w:rFonts w:ascii="Garamond" w:hAnsi="Garamond" w:cs="Arial"/>
          <w:sz w:val="24"/>
          <w:szCs w:val="24"/>
        </w:rPr>
        <w:t>En el mapa exportador de Chile se pueden establecer 4 zonas: Minero (Tarapacá, Antofagasta, Atacama y Coquimbo), con el 5</w:t>
      </w:r>
      <w:r w:rsidR="00321C6C" w:rsidRPr="00BE32AE">
        <w:rPr>
          <w:rFonts w:ascii="Garamond" w:hAnsi="Garamond" w:cs="Arial"/>
          <w:sz w:val="24"/>
          <w:szCs w:val="24"/>
        </w:rPr>
        <w:t>3,8</w:t>
      </w:r>
      <w:r w:rsidRPr="00BE32AE">
        <w:rPr>
          <w:rFonts w:ascii="Garamond" w:hAnsi="Garamond" w:cs="Arial"/>
          <w:sz w:val="24"/>
          <w:szCs w:val="24"/>
        </w:rPr>
        <w:t>% de las exportaciones</w:t>
      </w:r>
      <w:r w:rsidR="009E714E">
        <w:rPr>
          <w:rFonts w:ascii="Garamond" w:hAnsi="Garamond" w:cs="Arial"/>
          <w:sz w:val="24"/>
          <w:szCs w:val="24"/>
        </w:rPr>
        <w:t xml:space="preserve"> en el año 2012</w:t>
      </w:r>
      <w:r w:rsidR="00463ABD" w:rsidRPr="00BE32AE">
        <w:rPr>
          <w:rFonts w:ascii="Garamond" w:hAnsi="Garamond" w:cs="Arial"/>
          <w:sz w:val="24"/>
          <w:szCs w:val="24"/>
        </w:rPr>
        <w:t xml:space="preserve"> (US$41.263 millones)</w:t>
      </w:r>
      <w:r w:rsidRPr="00BE32AE">
        <w:rPr>
          <w:rFonts w:ascii="Garamond" w:hAnsi="Garamond" w:cs="Arial"/>
          <w:sz w:val="24"/>
          <w:szCs w:val="24"/>
        </w:rPr>
        <w:t>; Manufacturas (Santiago), con el 13%; Agro silvícola (Valparaíso, O’Higgins, Maule, BioBio, La Araucanía y Los Ríos), con el 28%; Pesquero (Los  Lagos y Aysén), con el 6%; y las regiones extremas, Comercio y Energía, con el 1%.</w:t>
      </w:r>
    </w:p>
    <w:p w:rsidR="006926E4" w:rsidRPr="00BE32AE" w:rsidRDefault="003C204E" w:rsidP="000C1827">
      <w:pPr>
        <w:tabs>
          <w:tab w:val="left" w:pos="-1701"/>
          <w:tab w:val="left" w:pos="3119"/>
        </w:tabs>
        <w:spacing w:after="240" w:line="288" w:lineRule="auto"/>
        <w:jc w:val="both"/>
        <w:rPr>
          <w:rFonts w:ascii="Garamond" w:hAnsi="Garamond" w:cs="Arial"/>
          <w:sz w:val="24"/>
          <w:szCs w:val="24"/>
        </w:rPr>
      </w:pPr>
      <w:r w:rsidRPr="00BE32AE">
        <w:rPr>
          <w:rFonts w:ascii="Garamond" w:hAnsi="Garamond" w:cs="Arial"/>
          <w:sz w:val="24"/>
          <w:szCs w:val="24"/>
        </w:rPr>
        <w:t xml:space="preserve">Las regiones que tienen mejor comportamiento en este periodo son </w:t>
      </w:r>
      <w:r w:rsidR="008E2B6F" w:rsidRPr="00BE32AE">
        <w:rPr>
          <w:rFonts w:ascii="Garamond" w:hAnsi="Garamond" w:cs="Arial"/>
          <w:sz w:val="24"/>
          <w:szCs w:val="24"/>
        </w:rPr>
        <w:t>Antofagasta y Coquimbo, en términos de su avance en la participación del total exportado</w:t>
      </w:r>
      <w:r w:rsidR="009E714E">
        <w:rPr>
          <w:rFonts w:ascii="Garamond" w:hAnsi="Garamond" w:cs="Arial"/>
          <w:sz w:val="24"/>
          <w:szCs w:val="24"/>
        </w:rPr>
        <w:t>de</w:t>
      </w:r>
      <w:r w:rsidR="00EC7093">
        <w:rPr>
          <w:rFonts w:ascii="Garamond" w:hAnsi="Garamond" w:cs="Arial"/>
          <w:sz w:val="24"/>
          <w:szCs w:val="24"/>
        </w:rPr>
        <w:t>l país</w:t>
      </w:r>
      <w:r w:rsidR="008E2B6F" w:rsidRPr="00BE32AE">
        <w:rPr>
          <w:rFonts w:ascii="Garamond" w:hAnsi="Garamond" w:cs="Arial"/>
          <w:sz w:val="24"/>
          <w:szCs w:val="24"/>
        </w:rPr>
        <w:t xml:space="preserve">, </w:t>
      </w:r>
      <w:r w:rsidR="00395ABA" w:rsidRPr="00BE32AE">
        <w:rPr>
          <w:rFonts w:ascii="Garamond" w:hAnsi="Garamond" w:cs="Arial"/>
          <w:sz w:val="24"/>
          <w:szCs w:val="24"/>
        </w:rPr>
        <w:t xml:space="preserve">en </w:t>
      </w:r>
      <w:r w:rsidR="008E2B6F" w:rsidRPr="00BE32AE">
        <w:rPr>
          <w:rFonts w:ascii="Garamond" w:hAnsi="Garamond" w:cs="Arial"/>
          <w:sz w:val="24"/>
          <w:szCs w:val="24"/>
        </w:rPr>
        <w:t xml:space="preserve">6,8 y 4,9 puntos porcentuales, respectivamente. Las 4 regiones mineras logran crecer en 1.069%, </w:t>
      </w:r>
      <w:r w:rsidR="000F653D" w:rsidRPr="00BE32AE">
        <w:rPr>
          <w:rFonts w:ascii="Garamond" w:hAnsi="Garamond" w:cs="Arial"/>
          <w:sz w:val="24"/>
          <w:szCs w:val="24"/>
        </w:rPr>
        <w:t xml:space="preserve">aumentando en esos años desde un 38,8% de participación en las ventas al exterior del país, a 53,8%, que resultan en 15 pp. </w:t>
      </w:r>
      <w:r w:rsidR="00AD7578" w:rsidRPr="00BE32AE">
        <w:rPr>
          <w:rFonts w:ascii="Garamond" w:hAnsi="Garamond" w:cs="Arial"/>
          <w:sz w:val="24"/>
          <w:szCs w:val="24"/>
        </w:rPr>
        <w:t xml:space="preserve">Esto se explica por el mayor </w:t>
      </w:r>
      <w:r w:rsidR="005909F6" w:rsidRPr="00BE32AE">
        <w:rPr>
          <w:rFonts w:ascii="Garamond" w:hAnsi="Garamond" w:cs="Arial"/>
          <w:sz w:val="24"/>
          <w:szCs w:val="24"/>
        </w:rPr>
        <w:t>precio del cobre, de 240%</w:t>
      </w:r>
      <w:r w:rsidR="000E2DD0">
        <w:rPr>
          <w:rFonts w:ascii="Garamond" w:hAnsi="Garamond" w:cs="Arial"/>
          <w:sz w:val="24"/>
          <w:szCs w:val="24"/>
        </w:rPr>
        <w:t xml:space="preserve"> en el período</w:t>
      </w:r>
      <w:r w:rsidR="005909F6" w:rsidRPr="00BE32AE">
        <w:rPr>
          <w:rFonts w:ascii="Garamond" w:hAnsi="Garamond" w:cs="Arial"/>
          <w:sz w:val="24"/>
          <w:szCs w:val="24"/>
        </w:rPr>
        <w:t xml:space="preserve">. </w:t>
      </w:r>
      <w:r w:rsidR="006926E4" w:rsidRPr="00BE32AE">
        <w:rPr>
          <w:rFonts w:ascii="Garamond" w:hAnsi="Garamond" w:cs="Arial"/>
          <w:sz w:val="24"/>
          <w:szCs w:val="24"/>
        </w:rPr>
        <w:t xml:space="preserve">En menor medida </w:t>
      </w:r>
      <w:r w:rsidR="000F653D" w:rsidRPr="00BE32AE">
        <w:rPr>
          <w:rFonts w:ascii="Garamond" w:hAnsi="Garamond" w:cs="Arial"/>
          <w:sz w:val="24"/>
          <w:szCs w:val="24"/>
        </w:rPr>
        <w:t xml:space="preserve">expanden su participación, Santiago (1,9 pp), Maule (0,8 pp), Los Lagos (0,5 pp), y La Araucanía (0,5 pp). El mayor descenso se produce en Biobío (-6,6 pp) derivado de </w:t>
      </w:r>
      <w:r w:rsidR="00AD7578" w:rsidRPr="00BE32AE">
        <w:rPr>
          <w:rFonts w:ascii="Garamond" w:hAnsi="Garamond" w:cs="Arial"/>
          <w:sz w:val="24"/>
          <w:szCs w:val="24"/>
        </w:rPr>
        <w:t>la gran caída del</w:t>
      </w:r>
      <w:r w:rsidR="000F653D" w:rsidRPr="00BE32AE">
        <w:rPr>
          <w:rFonts w:ascii="Garamond" w:hAnsi="Garamond" w:cs="Arial"/>
          <w:sz w:val="24"/>
          <w:szCs w:val="24"/>
        </w:rPr>
        <w:t xml:space="preserve"> precio </w:t>
      </w:r>
      <w:r w:rsidR="00AD7578" w:rsidRPr="00BE32AE">
        <w:rPr>
          <w:rFonts w:ascii="Garamond" w:hAnsi="Garamond" w:cs="Arial"/>
          <w:sz w:val="24"/>
          <w:szCs w:val="24"/>
        </w:rPr>
        <w:t>de</w:t>
      </w:r>
      <w:r w:rsidR="000F653D" w:rsidRPr="00BE32AE">
        <w:rPr>
          <w:rFonts w:ascii="Garamond" w:hAnsi="Garamond" w:cs="Arial"/>
          <w:sz w:val="24"/>
          <w:szCs w:val="24"/>
        </w:rPr>
        <w:t xml:space="preserve"> la celulosa</w:t>
      </w:r>
      <w:r w:rsidR="00AD7578" w:rsidRPr="00BE32AE">
        <w:rPr>
          <w:rFonts w:ascii="Garamond" w:hAnsi="Garamond" w:cs="Arial"/>
          <w:sz w:val="24"/>
          <w:szCs w:val="24"/>
        </w:rPr>
        <w:t xml:space="preserve"> en los últimos 2 años</w:t>
      </w:r>
      <w:r w:rsidR="000F653D" w:rsidRPr="00BE32AE">
        <w:rPr>
          <w:rFonts w:ascii="Garamond" w:hAnsi="Garamond" w:cs="Arial"/>
          <w:sz w:val="24"/>
          <w:szCs w:val="24"/>
        </w:rPr>
        <w:t xml:space="preserve">. </w:t>
      </w:r>
      <w:r w:rsidR="006926E4" w:rsidRPr="00BE32AE">
        <w:rPr>
          <w:rFonts w:ascii="Garamond" w:hAnsi="Garamond" w:cs="Arial"/>
          <w:sz w:val="24"/>
          <w:szCs w:val="24"/>
        </w:rPr>
        <w:t>Otro producto relevante es la harina de pescado, donde su precio se ha recuperado desde fines del 2011, sobre el 50%.</w:t>
      </w:r>
    </w:p>
    <w:p w:rsidR="006926E4" w:rsidRPr="00BE32AE" w:rsidRDefault="0046076E" w:rsidP="000C1827">
      <w:pPr>
        <w:tabs>
          <w:tab w:val="left" w:pos="-1701"/>
          <w:tab w:val="left" w:pos="3119"/>
        </w:tabs>
        <w:spacing w:after="240" w:line="288" w:lineRule="auto"/>
        <w:jc w:val="both"/>
        <w:rPr>
          <w:rFonts w:ascii="Garamond" w:hAnsi="Garamond" w:cs="Arial"/>
          <w:sz w:val="24"/>
          <w:szCs w:val="24"/>
        </w:rPr>
      </w:pPr>
      <w:r w:rsidRPr="00BE32AE">
        <w:rPr>
          <w:rFonts w:ascii="Garamond" w:hAnsi="Garamond" w:cs="Arial"/>
          <w:sz w:val="24"/>
          <w:szCs w:val="24"/>
        </w:rPr>
        <w:t xml:space="preserve">El destino de las exportaciones </w:t>
      </w:r>
      <w:r w:rsidR="005D0B07" w:rsidRPr="00BE32AE">
        <w:rPr>
          <w:rFonts w:ascii="Garamond" w:hAnsi="Garamond" w:cs="Arial"/>
          <w:sz w:val="24"/>
          <w:szCs w:val="24"/>
        </w:rPr>
        <w:t>a nivel global</w:t>
      </w:r>
      <w:r w:rsidRPr="00BE32AE">
        <w:rPr>
          <w:rFonts w:ascii="Garamond" w:hAnsi="Garamond" w:cs="Arial"/>
          <w:sz w:val="24"/>
          <w:szCs w:val="24"/>
        </w:rPr>
        <w:t xml:space="preserve"> son encabezadas por China, en un 23,5% (y en las regiones mineras alcanza a 32,3%), seguido de Estados Unidos, 11,6% (9,6%), y Japón, 10,9% (12,1%). Otros países relevantes son Corea del Sur, Brasil, India, Holanda e Italia. </w:t>
      </w:r>
      <w:r w:rsidR="009E714E">
        <w:rPr>
          <w:rFonts w:ascii="Garamond" w:hAnsi="Garamond" w:cs="Arial"/>
          <w:sz w:val="24"/>
          <w:szCs w:val="24"/>
        </w:rPr>
        <w:t xml:space="preserve">La suma de esos 8 países </w:t>
      </w:r>
      <w:r w:rsidRPr="00BE32AE">
        <w:rPr>
          <w:rFonts w:ascii="Garamond" w:hAnsi="Garamond" w:cs="Arial"/>
          <w:sz w:val="24"/>
          <w:szCs w:val="24"/>
        </w:rPr>
        <w:t>representan el 67% para el país, y 76% en las regiones mineras.</w:t>
      </w:r>
    </w:p>
    <w:p w:rsidR="005909F6" w:rsidRPr="00BE32AE" w:rsidRDefault="00395ABA" w:rsidP="000C1827">
      <w:pPr>
        <w:tabs>
          <w:tab w:val="left" w:pos="-1701"/>
          <w:tab w:val="left" w:pos="3119"/>
        </w:tabs>
        <w:spacing w:after="240" w:line="288" w:lineRule="auto"/>
        <w:jc w:val="both"/>
        <w:rPr>
          <w:rFonts w:ascii="Garamond" w:hAnsi="Garamond" w:cs="Arial"/>
          <w:sz w:val="24"/>
          <w:szCs w:val="24"/>
        </w:rPr>
      </w:pPr>
      <w:r w:rsidRPr="00BE32AE">
        <w:rPr>
          <w:rFonts w:ascii="Garamond" w:hAnsi="Garamond" w:cs="Arial"/>
          <w:sz w:val="24"/>
          <w:szCs w:val="24"/>
        </w:rPr>
        <w:t>En lo</w:t>
      </w:r>
      <w:r w:rsidR="00507192" w:rsidRPr="00BE32AE">
        <w:rPr>
          <w:rFonts w:ascii="Garamond" w:hAnsi="Garamond" w:cs="Arial"/>
          <w:sz w:val="24"/>
          <w:szCs w:val="24"/>
        </w:rPr>
        <w:t>s productos exportados en las reg</w:t>
      </w:r>
      <w:r w:rsidRPr="00BE32AE">
        <w:rPr>
          <w:rFonts w:ascii="Garamond" w:hAnsi="Garamond" w:cs="Arial"/>
          <w:sz w:val="24"/>
          <w:szCs w:val="24"/>
        </w:rPr>
        <w:t xml:space="preserve">iones mineras, el cobre </w:t>
      </w:r>
      <w:r w:rsidR="0014428C" w:rsidRPr="00BE32AE">
        <w:rPr>
          <w:rFonts w:ascii="Garamond" w:hAnsi="Garamond" w:cs="Arial"/>
          <w:sz w:val="24"/>
          <w:szCs w:val="24"/>
        </w:rPr>
        <w:t>constituye el 87,6% en el 2012</w:t>
      </w:r>
      <w:r w:rsidR="002A53FE" w:rsidRPr="00BE32AE">
        <w:rPr>
          <w:rFonts w:ascii="Garamond" w:hAnsi="Garamond" w:cs="Arial"/>
          <w:sz w:val="24"/>
          <w:szCs w:val="24"/>
        </w:rPr>
        <w:t xml:space="preserve">, y logra una variación sustancial en 16 años (1996-2012), de 625%, que permiten avanzar en 7,1 puntos porcentuales en </w:t>
      </w:r>
      <w:r w:rsidR="006D44AB" w:rsidRPr="00BE32AE">
        <w:rPr>
          <w:rFonts w:ascii="Garamond" w:hAnsi="Garamond" w:cs="Arial"/>
          <w:sz w:val="24"/>
          <w:szCs w:val="24"/>
        </w:rPr>
        <w:t xml:space="preserve">esa </w:t>
      </w:r>
      <w:r w:rsidR="002A53FE" w:rsidRPr="00BE32AE">
        <w:rPr>
          <w:rFonts w:ascii="Garamond" w:hAnsi="Garamond" w:cs="Arial"/>
          <w:sz w:val="24"/>
          <w:szCs w:val="24"/>
        </w:rPr>
        <w:t>participación</w:t>
      </w:r>
      <w:r w:rsidR="006D44AB" w:rsidRPr="00BE32AE">
        <w:rPr>
          <w:rFonts w:ascii="Garamond" w:hAnsi="Garamond" w:cs="Arial"/>
          <w:sz w:val="24"/>
          <w:szCs w:val="24"/>
        </w:rPr>
        <w:t>. Otros productos mineros (salitre, metales preciosos, etc.) son el 12,9% y la variación es de 393%; y</w:t>
      </w:r>
      <w:r w:rsidR="0014428C" w:rsidRPr="00BE32AE">
        <w:rPr>
          <w:rFonts w:ascii="Garamond" w:hAnsi="Garamond" w:cs="Arial"/>
          <w:sz w:val="24"/>
          <w:szCs w:val="24"/>
        </w:rPr>
        <w:t xml:space="preserve"> productos no mineros, el 2,9%</w:t>
      </w:r>
      <w:r w:rsidR="006D44AB" w:rsidRPr="00BE32AE">
        <w:rPr>
          <w:rFonts w:ascii="Garamond" w:hAnsi="Garamond" w:cs="Arial"/>
          <w:sz w:val="24"/>
          <w:szCs w:val="24"/>
        </w:rPr>
        <w:t>, con una variación de 186%</w:t>
      </w:r>
      <w:r w:rsidR="0014428C" w:rsidRPr="00BE32AE">
        <w:rPr>
          <w:rFonts w:ascii="Garamond" w:hAnsi="Garamond" w:cs="Arial"/>
          <w:sz w:val="24"/>
          <w:szCs w:val="24"/>
        </w:rPr>
        <w:t xml:space="preserve">. </w:t>
      </w:r>
    </w:p>
    <w:p w:rsidR="000C1A8D" w:rsidRPr="00BE32AE" w:rsidRDefault="000C1A8D" w:rsidP="000C1827">
      <w:pPr>
        <w:pStyle w:val="NormalWeb"/>
        <w:spacing w:before="0" w:beforeAutospacing="0" w:after="240" w:afterAutospacing="0" w:line="288" w:lineRule="auto"/>
        <w:jc w:val="both"/>
        <w:rPr>
          <w:rFonts w:ascii="Garamond" w:hAnsi="Garamond" w:cs="Arial"/>
        </w:rPr>
      </w:pPr>
    </w:p>
    <w:p w:rsidR="000C1A8D" w:rsidRPr="00BE32AE" w:rsidRDefault="000C1A8D" w:rsidP="000C1827">
      <w:pPr>
        <w:pStyle w:val="NormalWeb"/>
        <w:numPr>
          <w:ilvl w:val="0"/>
          <w:numId w:val="8"/>
        </w:numPr>
        <w:tabs>
          <w:tab w:val="left" w:pos="567"/>
        </w:tabs>
        <w:spacing w:before="0" w:beforeAutospacing="0" w:after="240" w:afterAutospacing="0" w:line="288" w:lineRule="auto"/>
        <w:ind w:left="0" w:firstLine="0"/>
        <w:jc w:val="both"/>
        <w:rPr>
          <w:rFonts w:ascii="Garamond" w:hAnsi="Garamond" w:cs="Arial"/>
          <w:b/>
        </w:rPr>
      </w:pPr>
      <w:r w:rsidRPr="00BE32AE">
        <w:rPr>
          <w:rFonts w:ascii="Garamond" w:hAnsi="Garamond" w:cs="Arial"/>
          <w:b/>
        </w:rPr>
        <w:t>Inversión Pública</w:t>
      </w:r>
    </w:p>
    <w:p w:rsidR="00A94852" w:rsidRPr="00BE32AE" w:rsidRDefault="000C1A8D"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Durante el año 20</w:t>
      </w:r>
      <w:r w:rsidR="006F24DD" w:rsidRPr="00BE32AE">
        <w:rPr>
          <w:rFonts w:ascii="Garamond" w:hAnsi="Garamond" w:cs="Arial"/>
        </w:rPr>
        <w:t>11</w:t>
      </w:r>
      <w:r w:rsidRPr="00BE32AE">
        <w:rPr>
          <w:rFonts w:ascii="Garamond" w:hAnsi="Garamond" w:cs="Arial"/>
        </w:rPr>
        <w:t xml:space="preserve"> el Estado ejecutó una inversión pública por un monto de $ </w:t>
      </w:r>
      <w:r w:rsidR="0000451F" w:rsidRPr="00BE32AE">
        <w:rPr>
          <w:rFonts w:ascii="Garamond" w:hAnsi="Garamond" w:cs="Arial"/>
        </w:rPr>
        <w:t>3.975</w:t>
      </w:r>
      <w:r w:rsidRPr="00BE32AE">
        <w:rPr>
          <w:rFonts w:ascii="Garamond" w:hAnsi="Garamond" w:cs="Arial"/>
        </w:rPr>
        <w:t xml:space="preserve"> miles de millones</w:t>
      </w:r>
      <w:r w:rsidR="0022144B" w:rsidRPr="00BE32AE">
        <w:rPr>
          <w:rFonts w:ascii="Garamond" w:hAnsi="Garamond" w:cs="Arial"/>
        </w:rPr>
        <w:t xml:space="preserve">, que desde el 2001 ha aumentado </w:t>
      </w:r>
      <w:r w:rsidR="009529BD" w:rsidRPr="00BE32AE">
        <w:rPr>
          <w:rFonts w:ascii="Garamond" w:hAnsi="Garamond" w:cs="Arial"/>
        </w:rPr>
        <w:t xml:space="preserve">en términos reales en </w:t>
      </w:r>
      <w:r w:rsidR="0000451F" w:rsidRPr="00BE32AE">
        <w:rPr>
          <w:rFonts w:ascii="Garamond" w:hAnsi="Garamond" w:cs="Arial"/>
        </w:rPr>
        <w:t>77,5</w:t>
      </w:r>
      <w:r w:rsidR="0022144B" w:rsidRPr="00BE32AE">
        <w:rPr>
          <w:rFonts w:ascii="Garamond" w:hAnsi="Garamond" w:cs="Arial"/>
        </w:rPr>
        <w:t>%, destacándose la región de Biobío</w:t>
      </w:r>
      <w:r w:rsidR="009529BD" w:rsidRPr="00BE32AE">
        <w:rPr>
          <w:rFonts w:ascii="Garamond" w:hAnsi="Garamond" w:cs="Arial"/>
        </w:rPr>
        <w:t xml:space="preserve">, por una variación de 154% y </w:t>
      </w:r>
      <w:r w:rsidR="0022144B" w:rsidRPr="00BE32AE">
        <w:rPr>
          <w:rFonts w:ascii="Garamond" w:hAnsi="Garamond" w:cs="Arial"/>
        </w:rPr>
        <w:t>Maule</w:t>
      </w:r>
      <w:r w:rsidR="009529BD" w:rsidRPr="00BE32AE">
        <w:rPr>
          <w:rFonts w:ascii="Garamond" w:hAnsi="Garamond" w:cs="Arial"/>
        </w:rPr>
        <w:t>,</w:t>
      </w:r>
      <w:r w:rsidR="0022144B" w:rsidRPr="00BE32AE">
        <w:rPr>
          <w:rFonts w:ascii="Garamond" w:hAnsi="Garamond" w:cs="Arial"/>
        </w:rPr>
        <w:t xml:space="preserve"> 1</w:t>
      </w:r>
      <w:r w:rsidR="009529BD" w:rsidRPr="00BE32AE">
        <w:rPr>
          <w:rFonts w:ascii="Garamond" w:hAnsi="Garamond" w:cs="Arial"/>
        </w:rPr>
        <w:t>31</w:t>
      </w:r>
      <w:r w:rsidR="0022144B" w:rsidRPr="00BE32AE">
        <w:rPr>
          <w:rFonts w:ascii="Garamond" w:hAnsi="Garamond" w:cs="Arial"/>
        </w:rPr>
        <w:t>%</w:t>
      </w:r>
      <w:r w:rsidR="00D80712" w:rsidRPr="00BE32AE">
        <w:rPr>
          <w:rFonts w:ascii="Garamond" w:hAnsi="Garamond" w:cs="Arial"/>
        </w:rPr>
        <w:t xml:space="preserve">, </w:t>
      </w:r>
      <w:r w:rsidR="009529BD" w:rsidRPr="00BE32AE">
        <w:rPr>
          <w:rFonts w:ascii="Garamond" w:hAnsi="Garamond" w:cs="Arial"/>
        </w:rPr>
        <w:t xml:space="preserve">lo que es derivado de las acciones post terremoto del 2010. </w:t>
      </w:r>
      <w:r w:rsidR="0022144B" w:rsidRPr="00BE32AE">
        <w:rPr>
          <w:rFonts w:ascii="Garamond" w:hAnsi="Garamond" w:cs="Arial"/>
        </w:rPr>
        <w:t>En términos de participación, la región de Santiago representa el 1</w:t>
      </w:r>
      <w:r w:rsidR="009529BD" w:rsidRPr="00BE32AE">
        <w:rPr>
          <w:rFonts w:ascii="Garamond" w:hAnsi="Garamond" w:cs="Arial"/>
        </w:rPr>
        <w:t>8,3</w:t>
      </w:r>
      <w:r w:rsidR="0022144B" w:rsidRPr="00BE32AE">
        <w:rPr>
          <w:rFonts w:ascii="Garamond" w:hAnsi="Garamond" w:cs="Arial"/>
        </w:rPr>
        <w:t>% y el Biobío, el 1</w:t>
      </w:r>
      <w:r w:rsidR="009529BD" w:rsidRPr="00BE32AE">
        <w:rPr>
          <w:rFonts w:ascii="Garamond" w:hAnsi="Garamond" w:cs="Arial"/>
        </w:rPr>
        <w:t>5,8</w:t>
      </w:r>
      <w:r w:rsidR="0022144B" w:rsidRPr="00BE32AE">
        <w:rPr>
          <w:rFonts w:ascii="Garamond" w:hAnsi="Garamond" w:cs="Arial"/>
        </w:rPr>
        <w:t>%</w:t>
      </w:r>
      <w:r w:rsidR="000B25B8" w:rsidRPr="00BE32AE">
        <w:rPr>
          <w:rFonts w:ascii="Garamond" w:hAnsi="Garamond" w:cs="Arial"/>
        </w:rPr>
        <w:t>, sin embargo, en la primera</w:t>
      </w:r>
      <w:r w:rsidR="00A94852" w:rsidRPr="00BE32AE">
        <w:rPr>
          <w:rFonts w:ascii="Garamond" w:hAnsi="Garamond" w:cs="Arial"/>
        </w:rPr>
        <w:t xml:space="preserve"> la inversión tiene una proporción menor a la población, </w:t>
      </w:r>
      <w:r w:rsidR="000B25B8" w:rsidRPr="00BE32AE">
        <w:rPr>
          <w:rFonts w:ascii="Garamond" w:hAnsi="Garamond" w:cs="Arial"/>
        </w:rPr>
        <w:t xml:space="preserve">en forma significativa, al igual que en </w:t>
      </w:r>
      <w:r w:rsidR="00A94852" w:rsidRPr="00BE32AE">
        <w:rPr>
          <w:rFonts w:ascii="Garamond" w:hAnsi="Garamond" w:cs="Arial"/>
        </w:rPr>
        <w:t>Valparaíso (-21,9 y -1,9 puntos porcentuales, respectivamente)</w:t>
      </w:r>
      <w:r w:rsidR="009E714E">
        <w:rPr>
          <w:rFonts w:ascii="Garamond" w:hAnsi="Garamond" w:cs="Arial"/>
        </w:rPr>
        <w:t>.</w:t>
      </w:r>
      <w:r w:rsidR="000B25B8" w:rsidRPr="00BE32AE">
        <w:rPr>
          <w:rFonts w:ascii="Garamond" w:hAnsi="Garamond" w:cs="Arial"/>
        </w:rPr>
        <w:t xml:space="preserve"> En cambio, principalmente es </w:t>
      </w:r>
      <w:r w:rsidR="00A94852" w:rsidRPr="00BE32AE">
        <w:rPr>
          <w:rFonts w:ascii="Garamond" w:hAnsi="Garamond" w:cs="Arial"/>
        </w:rPr>
        <w:t xml:space="preserve">mayor en Biobío y Maule (3,9 y 3,9 pp, respectivamente) </w:t>
      </w:r>
    </w:p>
    <w:p w:rsidR="009529BD" w:rsidRPr="00BE32AE" w:rsidRDefault="000B25B8"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Y </w:t>
      </w:r>
      <w:r w:rsidR="009529BD" w:rsidRPr="00BE32AE">
        <w:rPr>
          <w:rFonts w:ascii="Garamond" w:hAnsi="Garamond" w:cs="Arial"/>
        </w:rPr>
        <w:t>en l</w:t>
      </w:r>
      <w:r w:rsidR="0022144B" w:rsidRPr="00BE32AE">
        <w:rPr>
          <w:rFonts w:ascii="Garamond" w:hAnsi="Garamond" w:cs="Arial"/>
        </w:rPr>
        <w:t xml:space="preserve">as regiones mineras </w:t>
      </w:r>
      <w:r w:rsidR="009529BD" w:rsidRPr="00BE32AE">
        <w:rPr>
          <w:rFonts w:ascii="Garamond" w:hAnsi="Garamond" w:cs="Arial"/>
        </w:rPr>
        <w:t>la inversión del Estado crece 30% en el período</w:t>
      </w:r>
      <w:r w:rsidR="00E617C3">
        <w:rPr>
          <w:rFonts w:ascii="Garamond" w:hAnsi="Garamond" w:cs="Arial"/>
        </w:rPr>
        <w:t xml:space="preserve"> 2001-2011</w:t>
      </w:r>
      <w:r w:rsidR="009529BD" w:rsidRPr="00BE32AE">
        <w:rPr>
          <w:rFonts w:ascii="Garamond" w:hAnsi="Garamond" w:cs="Arial"/>
        </w:rPr>
        <w:t>, y su participación es 13,5%</w:t>
      </w:r>
      <w:r w:rsidR="00AE0E78" w:rsidRPr="00BE32AE">
        <w:rPr>
          <w:rFonts w:ascii="Garamond" w:hAnsi="Garamond" w:cs="Arial"/>
        </w:rPr>
        <w:t xml:space="preserve">, porcentaje </w:t>
      </w:r>
      <w:r w:rsidR="00E617C3">
        <w:rPr>
          <w:rFonts w:ascii="Garamond" w:hAnsi="Garamond" w:cs="Arial"/>
        </w:rPr>
        <w:t>a nivel nacional</w:t>
      </w:r>
      <w:r w:rsidR="00E617C3">
        <w:rPr>
          <w:rStyle w:val="Refdenotaalpie"/>
          <w:rFonts w:ascii="Garamond" w:hAnsi="Garamond" w:cs="Arial"/>
        </w:rPr>
        <w:footnoteReference w:id="29"/>
      </w:r>
      <w:r w:rsidR="00AE0E78" w:rsidRPr="00BE32AE">
        <w:rPr>
          <w:rFonts w:ascii="Garamond" w:hAnsi="Garamond" w:cs="Arial"/>
        </w:rPr>
        <w:t xml:space="preserve">que es levemente superior </w:t>
      </w:r>
      <w:r w:rsidRPr="00BE32AE">
        <w:rPr>
          <w:rFonts w:ascii="Garamond" w:hAnsi="Garamond" w:cs="Arial"/>
        </w:rPr>
        <w:t xml:space="preserve">a su </w:t>
      </w:r>
      <w:r w:rsidR="00AE0E78" w:rsidRPr="00BE32AE">
        <w:rPr>
          <w:rFonts w:ascii="Garamond" w:hAnsi="Garamond" w:cs="Arial"/>
        </w:rPr>
        <w:t>proporción en el total de la población del país, 12,2%</w:t>
      </w:r>
      <w:r w:rsidR="00AE0E78" w:rsidRPr="00BE32AE">
        <w:rPr>
          <w:rStyle w:val="Refdenotaalpie"/>
          <w:rFonts w:ascii="Garamond" w:hAnsi="Garamond" w:cs="Arial"/>
        </w:rPr>
        <w:footnoteReference w:id="30"/>
      </w:r>
      <w:r w:rsidR="00AE0E78" w:rsidRPr="00BE32AE">
        <w:rPr>
          <w:rFonts w:ascii="Garamond" w:hAnsi="Garamond" w:cs="Arial"/>
        </w:rPr>
        <w:t>.</w:t>
      </w:r>
    </w:p>
    <w:p w:rsidR="009E714E" w:rsidRDefault="009529BD"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Esta inversión pública</w:t>
      </w:r>
      <w:r w:rsidR="000C1A8D" w:rsidRPr="00BE32AE">
        <w:rPr>
          <w:rFonts w:ascii="Garamond" w:hAnsi="Garamond" w:cs="Arial"/>
        </w:rPr>
        <w:t xml:space="preserve"> se distribuye</w:t>
      </w:r>
      <w:r w:rsidRPr="00BE32AE">
        <w:rPr>
          <w:rFonts w:ascii="Garamond" w:hAnsi="Garamond" w:cs="Arial"/>
        </w:rPr>
        <w:t xml:space="preserve">, según la </w:t>
      </w:r>
      <w:r w:rsidR="00CE4511" w:rsidRPr="00BE32AE">
        <w:rPr>
          <w:rFonts w:ascii="Garamond" w:hAnsi="Garamond" w:cs="Arial"/>
        </w:rPr>
        <w:t xml:space="preserve">fuente </w:t>
      </w:r>
      <w:r w:rsidRPr="00BE32AE">
        <w:rPr>
          <w:rFonts w:ascii="Garamond" w:hAnsi="Garamond" w:cs="Arial"/>
        </w:rPr>
        <w:t xml:space="preserve">definanciamiento, </w:t>
      </w:r>
      <w:r w:rsidR="000C1A8D" w:rsidRPr="00BE32AE">
        <w:rPr>
          <w:rFonts w:ascii="Garamond" w:hAnsi="Garamond" w:cs="Arial"/>
        </w:rPr>
        <w:t>en 7</w:t>
      </w:r>
      <w:r w:rsidR="00AE0E78" w:rsidRPr="00BE32AE">
        <w:rPr>
          <w:rFonts w:ascii="Garamond" w:hAnsi="Garamond" w:cs="Arial"/>
        </w:rPr>
        <w:t>1,9</w:t>
      </w:r>
      <w:r w:rsidR="000C1A8D" w:rsidRPr="00BE32AE">
        <w:rPr>
          <w:rFonts w:ascii="Garamond" w:hAnsi="Garamond" w:cs="Arial"/>
        </w:rPr>
        <w:t xml:space="preserve">% de tipo sectorial (decisión centralizada, de ministerios y otras reparticiones, que dependen del Poder Ejecutivo), </w:t>
      </w:r>
      <w:r w:rsidR="00AE0E78" w:rsidRPr="00BE32AE">
        <w:rPr>
          <w:rFonts w:ascii="Garamond" w:hAnsi="Garamond" w:cs="Arial"/>
        </w:rPr>
        <w:t>21,3</w:t>
      </w:r>
      <w:r w:rsidR="000C1A8D" w:rsidRPr="00BE32AE">
        <w:rPr>
          <w:rFonts w:ascii="Garamond" w:hAnsi="Garamond" w:cs="Arial"/>
        </w:rPr>
        <w:t xml:space="preserve">% regional (decisión de los Consejos Regionales), y </w:t>
      </w:r>
      <w:r w:rsidR="00AE0E78" w:rsidRPr="00BE32AE">
        <w:rPr>
          <w:rFonts w:ascii="Garamond" w:hAnsi="Garamond" w:cs="Arial"/>
        </w:rPr>
        <w:t>6,9</w:t>
      </w:r>
      <w:r w:rsidR="000C1A8D" w:rsidRPr="00BE32AE">
        <w:rPr>
          <w:rFonts w:ascii="Garamond" w:hAnsi="Garamond" w:cs="Arial"/>
        </w:rPr>
        <w:t>% municipal</w:t>
      </w:r>
      <w:r w:rsidR="00AE0E78" w:rsidRPr="00BE32AE">
        <w:rPr>
          <w:rFonts w:ascii="Garamond" w:hAnsi="Garamond" w:cs="Arial"/>
        </w:rPr>
        <w:t>. Para las regiones mineras, la distribución es 61,5%, 32,7% y 5,8%, respectivamente</w:t>
      </w:r>
      <w:r w:rsidR="00F25AEA" w:rsidRPr="00BE32AE">
        <w:rPr>
          <w:rFonts w:ascii="Garamond" w:hAnsi="Garamond" w:cs="Arial"/>
        </w:rPr>
        <w:t>; destacándose una mayor proporción de inversión de decisión regional dentro del total.</w:t>
      </w:r>
    </w:p>
    <w:p w:rsidR="000C1A8D" w:rsidRPr="00BE32AE" w:rsidRDefault="000C1A8D"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Esta inversión pública se traduce en proyectos, estudios y programas que se realizan durante el año presupuestario, los cuales según su objeto se pueden clasificar en (a) Infraestructura social, (hospitales, escuelas, viviendas, comisarías, etc.); (b) Infraestructura productiva (caminos y carreteras, aeropuertos, obras de riego, etc.); (c) Programas de fomento productivo (incentivos agrícolas, créditos a pequeños agricultores, apoyo a la pequeña y microempresa, franquicias de capacitación, etc.); y (d) Programas sociales y culturales (subsidios a personas de la extrema pobreza, prevención contra las drogas, apoyo a la creación artística, etc.)</w:t>
      </w:r>
    </w:p>
    <w:p w:rsidR="000B25B8" w:rsidRPr="00BE32AE" w:rsidRDefault="000B25B8" w:rsidP="000C1827">
      <w:pPr>
        <w:pStyle w:val="NormalWeb"/>
        <w:spacing w:before="0" w:beforeAutospacing="0" w:after="240" w:afterAutospacing="0" w:line="288" w:lineRule="auto"/>
        <w:jc w:val="both"/>
        <w:rPr>
          <w:rFonts w:ascii="Garamond" w:hAnsi="Garamond" w:cs="Arial"/>
        </w:rPr>
      </w:pPr>
    </w:p>
    <w:p w:rsidR="000C1A8D" w:rsidRPr="00BE32AE" w:rsidRDefault="000C1A8D" w:rsidP="000C1827">
      <w:pPr>
        <w:pStyle w:val="NormalWeb"/>
        <w:numPr>
          <w:ilvl w:val="0"/>
          <w:numId w:val="8"/>
        </w:numPr>
        <w:tabs>
          <w:tab w:val="left" w:pos="567"/>
        </w:tabs>
        <w:spacing w:before="0" w:beforeAutospacing="0" w:after="240" w:afterAutospacing="0" w:line="288" w:lineRule="auto"/>
        <w:ind w:left="0" w:firstLine="0"/>
        <w:jc w:val="both"/>
        <w:rPr>
          <w:rFonts w:ascii="Garamond" w:hAnsi="Garamond" w:cs="Arial"/>
          <w:b/>
        </w:rPr>
      </w:pPr>
      <w:r w:rsidRPr="00BE32AE">
        <w:rPr>
          <w:rFonts w:ascii="Garamond" w:hAnsi="Garamond" w:cs="Arial"/>
          <w:b/>
        </w:rPr>
        <w:t>Inversión Extranjera</w:t>
      </w:r>
    </w:p>
    <w:p w:rsidR="00165996" w:rsidRPr="00BE32AE" w:rsidRDefault="00663A1B"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En el año 2012 se materializó </w:t>
      </w:r>
      <w:r w:rsidR="000C1A8D" w:rsidRPr="00BE32AE">
        <w:rPr>
          <w:rFonts w:ascii="Garamond" w:hAnsi="Garamond" w:cs="Arial"/>
        </w:rPr>
        <w:t xml:space="preserve">una inversión con capitales extranjeros por </w:t>
      </w:r>
      <w:r w:rsidRPr="00BE32AE">
        <w:rPr>
          <w:rFonts w:ascii="Garamond" w:hAnsi="Garamond" w:cs="Arial"/>
        </w:rPr>
        <w:t xml:space="preserve">US$ 8.187 millones </w:t>
      </w:r>
      <w:r w:rsidR="00577812" w:rsidRPr="00BE32AE">
        <w:rPr>
          <w:rFonts w:ascii="Garamond" w:hAnsi="Garamond" w:cs="Arial"/>
        </w:rPr>
        <w:t xml:space="preserve">que significa un aumento con respecto al año </w:t>
      </w:r>
      <w:r w:rsidRPr="00BE32AE">
        <w:rPr>
          <w:rFonts w:ascii="Garamond" w:hAnsi="Garamond" w:cs="Arial"/>
        </w:rPr>
        <w:t>2011</w:t>
      </w:r>
      <w:r w:rsidR="000C1A8D" w:rsidRPr="00BE32AE">
        <w:rPr>
          <w:rFonts w:ascii="Garamond" w:hAnsi="Garamond" w:cs="Arial"/>
        </w:rPr>
        <w:t xml:space="preserve">de </w:t>
      </w:r>
      <w:r w:rsidRPr="00BE32AE">
        <w:rPr>
          <w:rFonts w:ascii="Garamond" w:hAnsi="Garamond" w:cs="Arial"/>
        </w:rPr>
        <w:t>9</w:t>
      </w:r>
      <w:r w:rsidR="00A01FA8" w:rsidRPr="00BE32AE">
        <w:rPr>
          <w:rFonts w:ascii="Garamond" w:hAnsi="Garamond" w:cs="Arial"/>
        </w:rPr>
        <w:t>2</w:t>
      </w:r>
      <w:r w:rsidR="00577812" w:rsidRPr="00BE32AE">
        <w:rPr>
          <w:rFonts w:ascii="Garamond" w:hAnsi="Garamond" w:cs="Arial"/>
        </w:rPr>
        <w:t>%</w:t>
      </w:r>
      <w:r w:rsidR="00A01FA8" w:rsidRPr="00BE32AE">
        <w:rPr>
          <w:rFonts w:ascii="Garamond" w:hAnsi="Garamond" w:cs="Arial"/>
        </w:rPr>
        <w:t>, que se distribuye principalmente en un 34,7% hacia la minería, 18,7% seguros, 11% electricidad, gas y agua</w:t>
      </w:r>
      <w:r w:rsidR="00577812" w:rsidRPr="00BE32AE">
        <w:rPr>
          <w:rFonts w:ascii="Garamond" w:hAnsi="Garamond" w:cs="Arial"/>
        </w:rPr>
        <w:t xml:space="preserve">, </w:t>
      </w:r>
      <w:r w:rsidR="00A01FA8" w:rsidRPr="00BE32AE">
        <w:rPr>
          <w:rFonts w:ascii="Garamond" w:hAnsi="Garamond" w:cs="Arial"/>
        </w:rPr>
        <w:t xml:space="preserve">y 9,5% servicios financieros. </w:t>
      </w:r>
      <w:r w:rsidR="00B86622" w:rsidRPr="00BE32AE">
        <w:rPr>
          <w:rFonts w:ascii="Garamond" w:hAnsi="Garamond" w:cs="Arial"/>
        </w:rPr>
        <w:t xml:space="preserve">Esos sectores, con la excepción de la minería que no varía sustancialmente, tienen la mayor incidencia en el </w:t>
      </w:r>
      <w:r w:rsidR="00A01FA8" w:rsidRPr="00BE32AE">
        <w:rPr>
          <w:rFonts w:ascii="Garamond" w:hAnsi="Garamond" w:cs="Arial"/>
        </w:rPr>
        <w:t>incremento</w:t>
      </w:r>
      <w:r w:rsidR="00B86622" w:rsidRPr="00BE32AE">
        <w:rPr>
          <w:rFonts w:ascii="Garamond" w:hAnsi="Garamond" w:cs="Arial"/>
        </w:rPr>
        <w:t xml:space="preserve">, además de industria de alimentos e industria química. </w:t>
      </w:r>
      <w:r w:rsidR="00F97E84" w:rsidRPr="00BE32AE">
        <w:rPr>
          <w:rFonts w:ascii="Garamond" w:hAnsi="Garamond" w:cs="Arial"/>
        </w:rPr>
        <w:t xml:space="preserve">Por regiones, la mayor incidencia </w:t>
      </w:r>
      <w:r w:rsidR="00A01FA8" w:rsidRPr="00BE32AE">
        <w:rPr>
          <w:rFonts w:ascii="Garamond" w:hAnsi="Garamond" w:cs="Arial"/>
        </w:rPr>
        <w:t xml:space="preserve">se </w:t>
      </w:r>
      <w:r w:rsidR="00F97E84" w:rsidRPr="00BE32AE">
        <w:rPr>
          <w:rFonts w:ascii="Garamond" w:hAnsi="Garamond" w:cs="Arial"/>
        </w:rPr>
        <w:t>sitúa en inversión multirregional</w:t>
      </w:r>
      <w:r w:rsidR="00F97E84" w:rsidRPr="00BE32AE">
        <w:rPr>
          <w:rStyle w:val="Refdenotaalpie"/>
          <w:rFonts w:ascii="Garamond" w:hAnsi="Garamond" w:cs="Arial"/>
        </w:rPr>
        <w:footnoteReference w:id="31"/>
      </w:r>
      <w:r w:rsidR="00F97E84" w:rsidRPr="00BE32AE">
        <w:rPr>
          <w:rFonts w:ascii="Garamond" w:hAnsi="Garamond" w:cs="Arial"/>
        </w:rPr>
        <w:t xml:space="preserve"> y en la región de Santiago</w:t>
      </w:r>
      <w:r w:rsidR="00290FF4" w:rsidRPr="00BE32AE">
        <w:rPr>
          <w:rFonts w:ascii="Garamond" w:hAnsi="Garamond" w:cs="Arial"/>
        </w:rPr>
        <w:t>; y en menor medida en l</w:t>
      </w:r>
      <w:r w:rsidR="00F97E84" w:rsidRPr="00BE32AE">
        <w:rPr>
          <w:rFonts w:ascii="Garamond" w:hAnsi="Garamond" w:cs="Arial"/>
        </w:rPr>
        <w:t>as regiones mineras</w:t>
      </w:r>
      <w:r w:rsidR="00290FF4" w:rsidRPr="00BE32AE">
        <w:rPr>
          <w:rFonts w:ascii="Garamond" w:hAnsi="Garamond" w:cs="Arial"/>
        </w:rPr>
        <w:t xml:space="preserve">, que </w:t>
      </w:r>
      <w:r w:rsidR="00165996" w:rsidRPr="00BE32AE">
        <w:rPr>
          <w:rFonts w:ascii="Garamond" w:hAnsi="Garamond" w:cs="Arial"/>
        </w:rPr>
        <w:t xml:space="preserve">no </w:t>
      </w:r>
      <w:r w:rsidR="00290FF4" w:rsidRPr="00BE32AE">
        <w:rPr>
          <w:rFonts w:ascii="Garamond" w:hAnsi="Garamond" w:cs="Arial"/>
        </w:rPr>
        <w:t xml:space="preserve">experimentan un </w:t>
      </w:r>
      <w:r w:rsidR="00165996" w:rsidRPr="00BE32AE">
        <w:rPr>
          <w:rFonts w:ascii="Garamond" w:hAnsi="Garamond" w:cs="Arial"/>
        </w:rPr>
        <w:t xml:space="preserve">incremento significativo en el año, aun cuando </w:t>
      </w:r>
      <w:r w:rsidR="00F97E84" w:rsidRPr="00BE32AE">
        <w:rPr>
          <w:rFonts w:ascii="Garamond" w:hAnsi="Garamond" w:cs="Arial"/>
        </w:rPr>
        <w:t xml:space="preserve">reciben el 34,7% </w:t>
      </w:r>
      <w:r w:rsidR="00290FF4" w:rsidRPr="00BE32AE">
        <w:rPr>
          <w:rFonts w:ascii="Garamond" w:hAnsi="Garamond" w:cs="Arial"/>
        </w:rPr>
        <w:t>de la inversión total</w:t>
      </w:r>
      <w:r w:rsidR="00165996" w:rsidRPr="00BE32AE">
        <w:rPr>
          <w:rFonts w:ascii="Garamond" w:hAnsi="Garamond" w:cs="Arial"/>
        </w:rPr>
        <w:t xml:space="preserve">. </w:t>
      </w:r>
    </w:p>
    <w:p w:rsidR="00942AD2" w:rsidRDefault="00165996"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Entre el 1974 y 2012 se alcanza una inversión extranjera de US$ 90.208 millones, la cual en un 38,6% es multirregional, un 29,5% se dirige a las 4 regiones mineras, destacando a Antofagasta</w:t>
      </w:r>
      <w:r w:rsidR="00942AD2" w:rsidRPr="00BE32AE">
        <w:rPr>
          <w:rFonts w:ascii="Garamond" w:hAnsi="Garamond" w:cs="Arial"/>
        </w:rPr>
        <w:t xml:space="preserve"> y Atacama</w:t>
      </w:r>
      <w:r w:rsidRPr="00BE32AE">
        <w:rPr>
          <w:rFonts w:ascii="Garamond" w:hAnsi="Garamond" w:cs="Arial"/>
        </w:rPr>
        <w:t>, con un 14,2%</w:t>
      </w:r>
      <w:r w:rsidR="00942AD2" w:rsidRPr="00BE32AE">
        <w:rPr>
          <w:rFonts w:ascii="Garamond" w:hAnsi="Garamond" w:cs="Arial"/>
        </w:rPr>
        <w:t xml:space="preserve"> y 9,3%, respectivamente; y además, un 24% tiene su destino en la región de Santiago. Al excluir la categoría multirregional, las regiones mineras suben al 48%, que equivale a US$ 26.589 millones. En estas regiones, el 94,5% está dirigido a la minería. </w:t>
      </w:r>
    </w:p>
    <w:p w:rsidR="00C2713C" w:rsidRPr="00BE32AE" w:rsidRDefault="00C2713C" w:rsidP="000C1827">
      <w:pPr>
        <w:pStyle w:val="NormalWeb"/>
        <w:spacing w:before="0" w:beforeAutospacing="0" w:after="240" w:afterAutospacing="0" w:line="288" w:lineRule="auto"/>
        <w:jc w:val="both"/>
        <w:rPr>
          <w:rFonts w:ascii="Garamond" w:hAnsi="Garamond" w:cs="Arial"/>
        </w:rPr>
      </w:pPr>
    </w:p>
    <w:p w:rsidR="009D2DFA" w:rsidRPr="004A59DD" w:rsidRDefault="00740F4C" w:rsidP="000C1827">
      <w:pPr>
        <w:pStyle w:val="NormalWeb"/>
        <w:numPr>
          <w:ilvl w:val="0"/>
          <w:numId w:val="8"/>
        </w:numPr>
        <w:tabs>
          <w:tab w:val="left" w:pos="567"/>
        </w:tabs>
        <w:spacing w:before="0" w:beforeAutospacing="0" w:after="240" w:afterAutospacing="0" w:line="288" w:lineRule="auto"/>
        <w:ind w:left="0" w:firstLine="0"/>
        <w:jc w:val="both"/>
        <w:rPr>
          <w:rFonts w:ascii="Garamond" w:hAnsi="Garamond" w:cs="Arial"/>
          <w:b/>
        </w:rPr>
      </w:pPr>
      <w:r w:rsidRPr="004A59DD">
        <w:rPr>
          <w:rFonts w:ascii="Garamond" w:hAnsi="Garamond" w:cs="Arial"/>
          <w:b/>
        </w:rPr>
        <w:t xml:space="preserve">Inversión </w:t>
      </w:r>
      <w:r w:rsidR="00361C95" w:rsidRPr="004A59DD">
        <w:rPr>
          <w:rFonts w:ascii="Garamond" w:hAnsi="Garamond" w:cs="Arial"/>
          <w:b/>
        </w:rPr>
        <w:t xml:space="preserve">Privada </w:t>
      </w:r>
      <w:r w:rsidRPr="004A59DD">
        <w:rPr>
          <w:rFonts w:ascii="Garamond" w:hAnsi="Garamond" w:cs="Arial"/>
          <w:b/>
        </w:rPr>
        <w:t>Proyectada</w:t>
      </w:r>
    </w:p>
    <w:p w:rsidR="00740F4C" w:rsidRPr="00BE32AE" w:rsidRDefault="003C28EB" w:rsidP="000C1827">
      <w:pPr>
        <w:pStyle w:val="NormalWeb"/>
        <w:tabs>
          <w:tab w:val="left" w:pos="567"/>
        </w:tabs>
        <w:spacing w:before="0" w:beforeAutospacing="0" w:after="240" w:afterAutospacing="0" w:line="288" w:lineRule="auto"/>
        <w:jc w:val="both"/>
        <w:rPr>
          <w:rFonts w:ascii="Garamond" w:hAnsi="Garamond" w:cs="Arial"/>
        </w:rPr>
      </w:pPr>
      <w:r w:rsidRPr="00BE32AE">
        <w:rPr>
          <w:rFonts w:ascii="Garamond" w:hAnsi="Garamond" w:cs="Arial"/>
        </w:rPr>
        <w:t>La inversión proyectada que calcula la Corporación de Bienes de Capital</w:t>
      </w:r>
      <w:r w:rsidRPr="00BE32AE">
        <w:rPr>
          <w:rStyle w:val="Refdenotaalpie"/>
          <w:rFonts w:ascii="Garamond" w:hAnsi="Garamond" w:cs="Arial"/>
        </w:rPr>
        <w:footnoteReference w:id="32"/>
      </w:r>
      <w:r w:rsidRPr="00BE32AE">
        <w:rPr>
          <w:rFonts w:ascii="Garamond" w:hAnsi="Garamond" w:cs="Arial"/>
        </w:rPr>
        <w:t xml:space="preserve"> para el 2013 y </w:t>
      </w:r>
      <w:r w:rsidR="00740F4C" w:rsidRPr="00BE32AE">
        <w:rPr>
          <w:rFonts w:ascii="Garamond" w:hAnsi="Garamond" w:cs="Arial"/>
        </w:rPr>
        <w:t xml:space="preserve">los próximos 4 años, a nivel privado, es de </w:t>
      </w:r>
      <w:r w:rsidRPr="00BE32AE">
        <w:rPr>
          <w:rFonts w:ascii="Garamond" w:hAnsi="Garamond" w:cs="Arial"/>
        </w:rPr>
        <w:t>84.657</w:t>
      </w:r>
      <w:r w:rsidR="00740F4C" w:rsidRPr="00BE32AE">
        <w:rPr>
          <w:rFonts w:ascii="Garamond" w:hAnsi="Garamond" w:cs="Arial"/>
        </w:rPr>
        <w:t xml:space="preserve"> millones de dólares. Esta corresponde a los proyectos de inversión industrial que superan los US$ 5 millones, y los proyectos inmobiliarios que superan los US$ 15 millones.  Ella se dirige al sector </w:t>
      </w:r>
      <w:r w:rsidRPr="00BE32AE">
        <w:rPr>
          <w:rFonts w:ascii="Garamond" w:hAnsi="Garamond" w:cs="Arial"/>
        </w:rPr>
        <w:t xml:space="preserve">de la Minería en un 34,8%, </w:t>
      </w:r>
      <w:r w:rsidR="00740F4C" w:rsidRPr="00BE32AE">
        <w:rPr>
          <w:rFonts w:ascii="Garamond" w:hAnsi="Garamond" w:cs="Arial"/>
        </w:rPr>
        <w:t xml:space="preserve">Energía en un </w:t>
      </w:r>
      <w:r w:rsidRPr="00BE32AE">
        <w:rPr>
          <w:rFonts w:ascii="Garamond" w:hAnsi="Garamond" w:cs="Arial"/>
        </w:rPr>
        <w:t>33,2%</w:t>
      </w:r>
      <w:r w:rsidR="00740F4C" w:rsidRPr="00BE32AE">
        <w:rPr>
          <w:rFonts w:ascii="Garamond" w:hAnsi="Garamond" w:cs="Arial"/>
        </w:rPr>
        <w:t>, Inmobiliario en 1</w:t>
      </w:r>
      <w:r w:rsidRPr="00BE32AE">
        <w:rPr>
          <w:rFonts w:ascii="Garamond" w:hAnsi="Garamond" w:cs="Arial"/>
        </w:rPr>
        <w:t>5,6</w:t>
      </w:r>
      <w:r w:rsidR="00740F4C" w:rsidRPr="00BE32AE">
        <w:rPr>
          <w:rFonts w:ascii="Garamond" w:hAnsi="Garamond" w:cs="Arial"/>
        </w:rPr>
        <w:t xml:space="preserve">%, y Obras Públicas </w:t>
      </w:r>
      <w:r w:rsidRPr="00BE32AE">
        <w:rPr>
          <w:rFonts w:ascii="Garamond" w:hAnsi="Garamond" w:cs="Arial"/>
        </w:rPr>
        <w:t>8,3</w:t>
      </w:r>
      <w:r w:rsidR="00740F4C" w:rsidRPr="00BE32AE">
        <w:rPr>
          <w:rFonts w:ascii="Garamond" w:hAnsi="Garamond" w:cs="Arial"/>
        </w:rPr>
        <w:t xml:space="preserve">%.  El </w:t>
      </w:r>
      <w:r w:rsidRPr="00BE32AE">
        <w:rPr>
          <w:rFonts w:ascii="Garamond" w:hAnsi="Garamond" w:cs="Arial"/>
        </w:rPr>
        <w:t>8,1</w:t>
      </w:r>
      <w:r w:rsidR="00740F4C" w:rsidRPr="00BE32AE">
        <w:rPr>
          <w:rFonts w:ascii="Garamond" w:hAnsi="Garamond" w:cs="Arial"/>
        </w:rPr>
        <w:t xml:space="preserve">% restante se distribuye en Industria, Forestal </w:t>
      </w:r>
      <w:r w:rsidRPr="00BE32AE">
        <w:rPr>
          <w:rFonts w:ascii="Garamond" w:hAnsi="Garamond" w:cs="Arial"/>
        </w:rPr>
        <w:t xml:space="preserve">Puertos </w:t>
      </w:r>
      <w:r w:rsidR="00740F4C" w:rsidRPr="00BE32AE">
        <w:rPr>
          <w:rFonts w:ascii="Garamond" w:hAnsi="Garamond" w:cs="Arial"/>
        </w:rPr>
        <w:t>y Otros.  Está</w:t>
      </w:r>
      <w:r w:rsidRPr="00BE32AE">
        <w:rPr>
          <w:rFonts w:ascii="Garamond" w:hAnsi="Garamond" w:cs="Arial"/>
        </w:rPr>
        <w:t xml:space="preserve"> pronosticado</w:t>
      </w:r>
      <w:r w:rsidR="00740F4C" w:rsidRPr="00BE32AE">
        <w:rPr>
          <w:rFonts w:ascii="Garamond" w:hAnsi="Garamond" w:cs="Arial"/>
        </w:rPr>
        <w:t xml:space="preserve"> ejecutar el 201</w:t>
      </w:r>
      <w:r w:rsidRPr="00BE32AE">
        <w:rPr>
          <w:rFonts w:ascii="Garamond" w:hAnsi="Garamond" w:cs="Arial"/>
        </w:rPr>
        <w:t>3</w:t>
      </w:r>
      <w:r w:rsidR="00740F4C" w:rsidRPr="00BE32AE">
        <w:rPr>
          <w:rFonts w:ascii="Garamond" w:hAnsi="Garamond" w:cs="Arial"/>
        </w:rPr>
        <w:t xml:space="preserve"> el 2</w:t>
      </w:r>
      <w:r w:rsidRPr="00BE32AE">
        <w:rPr>
          <w:rFonts w:ascii="Garamond" w:hAnsi="Garamond" w:cs="Arial"/>
        </w:rPr>
        <w:t>4</w:t>
      </w:r>
      <w:r w:rsidR="00740F4C" w:rsidRPr="00BE32AE">
        <w:rPr>
          <w:rFonts w:ascii="Garamond" w:hAnsi="Garamond" w:cs="Arial"/>
        </w:rPr>
        <w:t>%, el 201</w:t>
      </w:r>
      <w:r w:rsidRPr="00BE32AE">
        <w:rPr>
          <w:rFonts w:ascii="Garamond" w:hAnsi="Garamond" w:cs="Arial"/>
        </w:rPr>
        <w:t>4</w:t>
      </w:r>
      <w:r w:rsidR="00740F4C" w:rsidRPr="00BE32AE">
        <w:rPr>
          <w:rFonts w:ascii="Garamond" w:hAnsi="Garamond" w:cs="Arial"/>
        </w:rPr>
        <w:t xml:space="preserve">, </w:t>
      </w:r>
      <w:r w:rsidRPr="00BE32AE">
        <w:rPr>
          <w:rFonts w:ascii="Garamond" w:hAnsi="Garamond" w:cs="Arial"/>
        </w:rPr>
        <w:t>27,7</w:t>
      </w:r>
      <w:r w:rsidR="00740F4C" w:rsidRPr="00BE32AE">
        <w:rPr>
          <w:rFonts w:ascii="Garamond" w:hAnsi="Garamond" w:cs="Arial"/>
        </w:rPr>
        <w:t>%, el 201</w:t>
      </w:r>
      <w:r w:rsidRPr="00BE32AE">
        <w:rPr>
          <w:rFonts w:ascii="Garamond" w:hAnsi="Garamond" w:cs="Arial"/>
        </w:rPr>
        <w:t>5</w:t>
      </w:r>
      <w:r w:rsidR="00740F4C" w:rsidRPr="00BE32AE">
        <w:rPr>
          <w:rFonts w:ascii="Garamond" w:hAnsi="Garamond" w:cs="Arial"/>
        </w:rPr>
        <w:t xml:space="preserve">, </w:t>
      </w:r>
      <w:r w:rsidRPr="00BE32AE">
        <w:rPr>
          <w:rFonts w:ascii="Garamond" w:hAnsi="Garamond" w:cs="Arial"/>
        </w:rPr>
        <w:t>22,2</w:t>
      </w:r>
      <w:r w:rsidR="00740F4C" w:rsidRPr="00BE32AE">
        <w:rPr>
          <w:rFonts w:ascii="Garamond" w:hAnsi="Garamond" w:cs="Arial"/>
        </w:rPr>
        <w:t>%</w:t>
      </w:r>
      <w:r w:rsidRPr="00BE32AE">
        <w:rPr>
          <w:rFonts w:ascii="Garamond" w:hAnsi="Garamond" w:cs="Arial"/>
        </w:rPr>
        <w:t>, el 2016, 16,5%</w:t>
      </w:r>
      <w:r w:rsidR="00740F4C" w:rsidRPr="00BE32AE">
        <w:rPr>
          <w:rFonts w:ascii="Garamond" w:hAnsi="Garamond" w:cs="Arial"/>
        </w:rPr>
        <w:t xml:space="preserve"> y el 201</w:t>
      </w:r>
      <w:r w:rsidRPr="00BE32AE">
        <w:rPr>
          <w:rFonts w:ascii="Garamond" w:hAnsi="Garamond" w:cs="Arial"/>
        </w:rPr>
        <w:t>7</w:t>
      </w:r>
      <w:r w:rsidR="00740F4C" w:rsidRPr="00BE32AE">
        <w:rPr>
          <w:rFonts w:ascii="Garamond" w:hAnsi="Garamond" w:cs="Arial"/>
        </w:rPr>
        <w:t xml:space="preserve">, </w:t>
      </w:r>
      <w:r w:rsidRPr="00BE32AE">
        <w:rPr>
          <w:rFonts w:ascii="Garamond" w:hAnsi="Garamond" w:cs="Arial"/>
        </w:rPr>
        <w:t>9,6</w:t>
      </w:r>
      <w:r w:rsidR="00740F4C" w:rsidRPr="00BE32AE">
        <w:rPr>
          <w:rFonts w:ascii="Garamond" w:hAnsi="Garamond" w:cs="Arial"/>
        </w:rPr>
        <w:t>%.  Por regiones, A</w:t>
      </w:r>
      <w:r w:rsidR="000C2A4B" w:rsidRPr="00BE32AE">
        <w:rPr>
          <w:rFonts w:ascii="Garamond" w:hAnsi="Garamond" w:cs="Arial"/>
        </w:rPr>
        <w:t xml:space="preserve">ntofagasta </w:t>
      </w:r>
      <w:r w:rsidR="00740F4C" w:rsidRPr="00BE32AE">
        <w:rPr>
          <w:rFonts w:ascii="Garamond" w:hAnsi="Garamond" w:cs="Arial"/>
        </w:rPr>
        <w:t xml:space="preserve">recibe US$ </w:t>
      </w:r>
      <w:r w:rsidR="000C2A4B" w:rsidRPr="00BE32AE">
        <w:rPr>
          <w:rFonts w:ascii="Garamond" w:hAnsi="Garamond" w:cs="Arial"/>
        </w:rPr>
        <w:t>32.370</w:t>
      </w:r>
      <w:r w:rsidR="00740F4C" w:rsidRPr="00BE32AE">
        <w:rPr>
          <w:rFonts w:ascii="Garamond" w:hAnsi="Garamond" w:cs="Arial"/>
        </w:rPr>
        <w:t xml:space="preserve">, que es el </w:t>
      </w:r>
      <w:r w:rsidR="000C2A4B" w:rsidRPr="00BE32AE">
        <w:rPr>
          <w:rFonts w:ascii="Garamond" w:hAnsi="Garamond" w:cs="Arial"/>
        </w:rPr>
        <w:t>38,2</w:t>
      </w:r>
      <w:r w:rsidR="006752C0" w:rsidRPr="00BE32AE">
        <w:rPr>
          <w:rFonts w:ascii="Garamond" w:hAnsi="Garamond" w:cs="Arial"/>
        </w:rPr>
        <w:t xml:space="preserve">% del total, que se </w:t>
      </w:r>
      <w:r w:rsidR="00740F4C" w:rsidRPr="00BE32AE">
        <w:rPr>
          <w:rFonts w:ascii="Garamond" w:hAnsi="Garamond" w:cs="Arial"/>
        </w:rPr>
        <w:t>dirige a la Minería en 5</w:t>
      </w:r>
      <w:r w:rsidR="0007745E" w:rsidRPr="00BE32AE">
        <w:rPr>
          <w:rFonts w:ascii="Garamond" w:hAnsi="Garamond" w:cs="Arial"/>
        </w:rPr>
        <w:t>1</w:t>
      </w:r>
      <w:r w:rsidR="00740F4C" w:rsidRPr="00BE32AE">
        <w:rPr>
          <w:rFonts w:ascii="Garamond" w:hAnsi="Garamond" w:cs="Arial"/>
        </w:rPr>
        <w:t xml:space="preserve">%, y a Energía en </w:t>
      </w:r>
      <w:r w:rsidR="0007745E" w:rsidRPr="00BE32AE">
        <w:rPr>
          <w:rFonts w:ascii="Garamond" w:hAnsi="Garamond" w:cs="Arial"/>
        </w:rPr>
        <w:t>42,7</w:t>
      </w:r>
      <w:r w:rsidR="00740F4C" w:rsidRPr="00BE32AE">
        <w:rPr>
          <w:rFonts w:ascii="Garamond" w:hAnsi="Garamond" w:cs="Arial"/>
        </w:rPr>
        <w:t>%.  En segundo lugar se sitúa la región de Santiago, con US$ 1</w:t>
      </w:r>
      <w:r w:rsidR="0007745E" w:rsidRPr="00BE32AE">
        <w:rPr>
          <w:rFonts w:ascii="Garamond" w:hAnsi="Garamond" w:cs="Arial"/>
        </w:rPr>
        <w:t>5</w:t>
      </w:r>
      <w:r w:rsidR="00740F4C" w:rsidRPr="00BE32AE">
        <w:rPr>
          <w:rFonts w:ascii="Garamond" w:hAnsi="Garamond" w:cs="Arial"/>
        </w:rPr>
        <w:t>.</w:t>
      </w:r>
      <w:r w:rsidR="0007745E" w:rsidRPr="00BE32AE">
        <w:rPr>
          <w:rFonts w:ascii="Garamond" w:hAnsi="Garamond" w:cs="Arial"/>
        </w:rPr>
        <w:t>231</w:t>
      </w:r>
      <w:r w:rsidR="00740F4C" w:rsidRPr="00BE32AE">
        <w:rPr>
          <w:rFonts w:ascii="Garamond" w:hAnsi="Garamond" w:cs="Arial"/>
        </w:rPr>
        <w:t xml:space="preserve"> millones (representan el 1</w:t>
      </w:r>
      <w:r w:rsidR="0007745E" w:rsidRPr="00BE32AE">
        <w:rPr>
          <w:rFonts w:ascii="Garamond" w:hAnsi="Garamond" w:cs="Arial"/>
        </w:rPr>
        <w:t>8</w:t>
      </w:r>
      <w:r w:rsidR="00740F4C" w:rsidRPr="00BE32AE">
        <w:rPr>
          <w:rFonts w:ascii="Garamond" w:hAnsi="Garamond" w:cs="Arial"/>
        </w:rPr>
        <w:t>% del total), lo</w:t>
      </w:r>
      <w:r w:rsidR="006752C0" w:rsidRPr="00BE32AE">
        <w:rPr>
          <w:rFonts w:ascii="Garamond" w:hAnsi="Garamond" w:cs="Arial"/>
        </w:rPr>
        <w:t>s</w:t>
      </w:r>
      <w:r w:rsidR="00740F4C" w:rsidRPr="00BE32AE">
        <w:rPr>
          <w:rFonts w:ascii="Garamond" w:hAnsi="Garamond" w:cs="Arial"/>
        </w:rPr>
        <w:t xml:space="preserve"> cuales se dirigen a proyectos inmobiliarios, en 5</w:t>
      </w:r>
      <w:r w:rsidR="006752C0" w:rsidRPr="00BE32AE">
        <w:rPr>
          <w:rFonts w:ascii="Garamond" w:hAnsi="Garamond" w:cs="Arial"/>
        </w:rPr>
        <w:t>9</w:t>
      </w:r>
      <w:r w:rsidR="00740F4C" w:rsidRPr="00BE32AE">
        <w:rPr>
          <w:rFonts w:ascii="Garamond" w:hAnsi="Garamond" w:cs="Arial"/>
        </w:rPr>
        <w:t>%</w:t>
      </w:r>
      <w:r w:rsidR="006752C0" w:rsidRPr="00BE32AE">
        <w:rPr>
          <w:rFonts w:ascii="Garamond" w:hAnsi="Garamond" w:cs="Arial"/>
        </w:rPr>
        <w:t xml:space="preserve">, obras públicas, 23,6%, y energía, 10%. </w:t>
      </w:r>
      <w:r w:rsidR="00740F4C" w:rsidRPr="00BE32AE">
        <w:rPr>
          <w:rFonts w:ascii="Garamond" w:hAnsi="Garamond" w:cs="Arial"/>
        </w:rPr>
        <w:t xml:space="preserve">En tercer lugar se ubica </w:t>
      </w:r>
      <w:r w:rsidR="00BC59EF" w:rsidRPr="00BE32AE">
        <w:rPr>
          <w:rFonts w:ascii="Garamond" w:hAnsi="Garamond" w:cs="Arial"/>
        </w:rPr>
        <w:t>Tarapacá</w:t>
      </w:r>
      <w:r w:rsidR="00740F4C" w:rsidRPr="00BE32AE">
        <w:rPr>
          <w:rFonts w:ascii="Garamond" w:hAnsi="Garamond" w:cs="Arial"/>
        </w:rPr>
        <w:t>, con el 13</w:t>
      </w:r>
      <w:r w:rsidR="00BC59EF" w:rsidRPr="00BE32AE">
        <w:rPr>
          <w:rFonts w:ascii="Garamond" w:hAnsi="Garamond" w:cs="Arial"/>
        </w:rPr>
        <w:t>,5</w:t>
      </w:r>
      <w:r w:rsidR="00740F4C" w:rsidRPr="00BE32AE">
        <w:rPr>
          <w:rFonts w:ascii="Garamond" w:hAnsi="Garamond" w:cs="Arial"/>
        </w:rPr>
        <w:t>% de la inversión proyectada</w:t>
      </w:r>
      <w:r w:rsidR="00BC59EF" w:rsidRPr="00BE32AE">
        <w:rPr>
          <w:rFonts w:ascii="Garamond" w:hAnsi="Garamond" w:cs="Arial"/>
        </w:rPr>
        <w:t xml:space="preserve"> (US$11.394 millones)</w:t>
      </w:r>
      <w:r w:rsidR="00740F4C" w:rsidRPr="00BE32AE">
        <w:rPr>
          <w:rFonts w:ascii="Garamond" w:hAnsi="Garamond" w:cs="Arial"/>
        </w:rPr>
        <w:t xml:space="preserve">, que en un </w:t>
      </w:r>
      <w:r w:rsidR="00BC59EF" w:rsidRPr="00BE32AE">
        <w:rPr>
          <w:rFonts w:ascii="Garamond" w:hAnsi="Garamond" w:cs="Arial"/>
        </w:rPr>
        <w:t>79,5</w:t>
      </w:r>
      <w:r w:rsidR="00740F4C" w:rsidRPr="00BE32AE">
        <w:rPr>
          <w:rFonts w:ascii="Garamond" w:hAnsi="Garamond" w:cs="Arial"/>
        </w:rPr>
        <w:t xml:space="preserve">% tienen su destino </w:t>
      </w:r>
      <w:r w:rsidR="00BC59EF" w:rsidRPr="00BE32AE">
        <w:rPr>
          <w:rFonts w:ascii="Garamond" w:hAnsi="Garamond" w:cs="Arial"/>
        </w:rPr>
        <w:t xml:space="preserve">en </w:t>
      </w:r>
      <w:r w:rsidR="00740F4C" w:rsidRPr="00BE32AE">
        <w:rPr>
          <w:rFonts w:ascii="Garamond" w:hAnsi="Garamond" w:cs="Arial"/>
        </w:rPr>
        <w:t xml:space="preserve">la minería y </w:t>
      </w:r>
      <w:r w:rsidR="00BC59EF" w:rsidRPr="00BE32AE">
        <w:rPr>
          <w:rFonts w:ascii="Garamond" w:hAnsi="Garamond" w:cs="Arial"/>
        </w:rPr>
        <w:t xml:space="preserve">18,1% en Energía. Y en cuarto lugar, Atacama, con el 9,3% del total (US$ 7.862 millones) </w:t>
      </w:r>
      <w:r w:rsidR="000C3608" w:rsidRPr="00BE32AE">
        <w:rPr>
          <w:rFonts w:ascii="Garamond" w:hAnsi="Garamond" w:cs="Arial"/>
        </w:rPr>
        <w:t xml:space="preserve">con inversiones en minería (45,8%) y energía (45,3%). </w:t>
      </w:r>
      <w:r w:rsidR="00740F4C" w:rsidRPr="00BE32AE">
        <w:rPr>
          <w:rFonts w:ascii="Garamond" w:hAnsi="Garamond" w:cs="Arial"/>
        </w:rPr>
        <w:t>El resto de las regiones reciben magnitudes de inversión que se acercan más a su participación en el PIB.</w:t>
      </w:r>
    </w:p>
    <w:p w:rsidR="008A01A5" w:rsidRPr="00BE32AE" w:rsidRDefault="000C3608"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Las regiones mineras, </w:t>
      </w:r>
      <w:r w:rsidR="00114A78" w:rsidRPr="00BE32AE">
        <w:rPr>
          <w:rFonts w:ascii="Garamond" w:hAnsi="Garamond" w:cs="Arial"/>
        </w:rPr>
        <w:t xml:space="preserve">reciben el 64,5% del total </w:t>
      </w:r>
      <w:r w:rsidR="000E2DD0">
        <w:rPr>
          <w:rFonts w:ascii="Garamond" w:hAnsi="Garamond" w:cs="Arial"/>
        </w:rPr>
        <w:t>proyectado para invertir</w:t>
      </w:r>
      <w:r w:rsidR="00114A78" w:rsidRPr="00BE32AE">
        <w:rPr>
          <w:rFonts w:ascii="Garamond" w:hAnsi="Garamond" w:cs="Arial"/>
        </w:rPr>
        <w:t xml:space="preserve">, que corresponde a US$ 54.613 millones, en un nivel de maduración </w:t>
      </w:r>
      <w:r w:rsidR="000E2DD0">
        <w:rPr>
          <w:rFonts w:ascii="Garamond" w:hAnsi="Garamond" w:cs="Arial"/>
        </w:rPr>
        <w:t xml:space="preserve">o de distribución a lo largo del horizonte de años </w:t>
      </w:r>
      <w:r w:rsidR="00C2713C">
        <w:rPr>
          <w:rFonts w:ascii="Garamond" w:hAnsi="Garamond" w:cs="Arial"/>
        </w:rPr>
        <w:t xml:space="preserve">que </w:t>
      </w:r>
      <w:r w:rsidR="000E2DD0">
        <w:rPr>
          <w:rFonts w:ascii="Garamond" w:hAnsi="Garamond" w:cs="Arial"/>
        </w:rPr>
        <w:t xml:space="preserve">es </w:t>
      </w:r>
      <w:r w:rsidR="00114A78" w:rsidRPr="00BE32AE">
        <w:rPr>
          <w:rFonts w:ascii="Garamond" w:hAnsi="Garamond" w:cs="Arial"/>
        </w:rPr>
        <w:t>equivalente al total del país; y se dirigen a la minería 53,6% (representa el 99,3% del total</w:t>
      </w:r>
      <w:r w:rsidR="00606AE9" w:rsidRPr="00BE32AE">
        <w:rPr>
          <w:rFonts w:ascii="Garamond" w:hAnsi="Garamond" w:cs="Arial"/>
        </w:rPr>
        <w:t>), y energía, 37,9% (73,5% del total). El resto alcanza a 8,5% y corresponde a inversión en obras públicas, inmobiliario, puertos, industrial y otros.</w:t>
      </w:r>
      <w:r w:rsidR="00F04F3D" w:rsidRPr="00BE32AE">
        <w:rPr>
          <w:rFonts w:ascii="Garamond" w:hAnsi="Garamond" w:cs="Arial"/>
        </w:rPr>
        <w:t>Cabe señalar que dicho porcentaje de inversión total (64,5%) supera ampliamente la participación en la generación del producto,</w:t>
      </w:r>
      <w:r w:rsidR="00FC7B56" w:rsidRPr="00BE32AE">
        <w:rPr>
          <w:rFonts w:ascii="Garamond" w:hAnsi="Garamond" w:cs="Arial"/>
        </w:rPr>
        <w:t xml:space="preserve"> con lo cual se establecen condiciones para un mayor crecimiento en el futuro</w:t>
      </w:r>
      <w:r w:rsidR="00C2713C">
        <w:rPr>
          <w:rFonts w:ascii="Garamond" w:hAnsi="Garamond" w:cs="Arial"/>
        </w:rPr>
        <w:t xml:space="preserve">. Para aquello </w:t>
      </w:r>
      <w:r w:rsidR="00AF22DA">
        <w:rPr>
          <w:rFonts w:ascii="Garamond" w:hAnsi="Garamond" w:cs="Arial"/>
        </w:rPr>
        <w:t xml:space="preserve">se </w:t>
      </w:r>
      <w:r w:rsidR="00D06F16">
        <w:rPr>
          <w:rFonts w:ascii="Garamond" w:hAnsi="Garamond" w:cs="Arial"/>
        </w:rPr>
        <w:t>contempla</w:t>
      </w:r>
      <w:r w:rsidR="00AF22DA">
        <w:rPr>
          <w:rFonts w:ascii="Garamond" w:hAnsi="Garamond" w:cs="Arial"/>
        </w:rPr>
        <w:t xml:space="preserve"> la relación </w:t>
      </w:r>
      <w:r w:rsidR="00911003">
        <w:rPr>
          <w:rFonts w:ascii="Garamond" w:hAnsi="Garamond" w:cs="Arial"/>
        </w:rPr>
        <w:t xml:space="preserve">proporcional positiva </w:t>
      </w:r>
      <w:r w:rsidR="00AF22DA">
        <w:rPr>
          <w:rFonts w:ascii="Garamond" w:hAnsi="Garamond" w:cs="Arial"/>
        </w:rPr>
        <w:t xml:space="preserve">entre </w:t>
      </w:r>
      <w:r w:rsidR="00D06F16">
        <w:rPr>
          <w:rFonts w:ascii="Garamond" w:hAnsi="Garamond" w:cs="Arial"/>
        </w:rPr>
        <w:t>el stock de capital, que se deriva de la in</w:t>
      </w:r>
      <w:r w:rsidR="00911003">
        <w:rPr>
          <w:rFonts w:ascii="Garamond" w:hAnsi="Garamond" w:cs="Arial"/>
        </w:rPr>
        <w:t xml:space="preserve">versión, </w:t>
      </w:r>
      <w:r w:rsidR="00AF22DA">
        <w:rPr>
          <w:rFonts w:ascii="Garamond" w:hAnsi="Garamond" w:cs="Arial"/>
        </w:rPr>
        <w:t>y el producto</w:t>
      </w:r>
      <w:r w:rsidR="00911003">
        <w:rPr>
          <w:rStyle w:val="Refdenotaalpie"/>
          <w:rFonts w:ascii="Garamond" w:hAnsi="Garamond" w:cs="Arial"/>
        </w:rPr>
        <w:footnoteReference w:id="33"/>
      </w:r>
      <w:r w:rsidR="00FC7B56" w:rsidRPr="00BE32AE">
        <w:rPr>
          <w:rFonts w:ascii="Garamond" w:hAnsi="Garamond" w:cs="Arial"/>
        </w:rPr>
        <w:t xml:space="preserve">. </w:t>
      </w:r>
    </w:p>
    <w:p w:rsidR="00AF22DA" w:rsidRDefault="00AF22DA">
      <w:pPr>
        <w:rPr>
          <w:rFonts w:ascii="Garamond" w:eastAsia="Times New Roman" w:hAnsi="Garamond" w:cs="Arial"/>
          <w:b/>
          <w:sz w:val="24"/>
          <w:szCs w:val="24"/>
          <w:lang w:val="es-ES" w:eastAsia="es-ES"/>
        </w:rPr>
      </w:pPr>
    </w:p>
    <w:p w:rsidR="006A1475" w:rsidRDefault="003A3BF5" w:rsidP="000C1827">
      <w:pPr>
        <w:pStyle w:val="NormalWeb"/>
        <w:numPr>
          <w:ilvl w:val="0"/>
          <w:numId w:val="8"/>
        </w:numPr>
        <w:tabs>
          <w:tab w:val="left" w:pos="567"/>
        </w:tabs>
        <w:spacing w:before="0" w:beforeAutospacing="0" w:after="240" w:afterAutospacing="0" w:line="288" w:lineRule="auto"/>
        <w:ind w:left="0" w:firstLine="0"/>
        <w:jc w:val="both"/>
        <w:rPr>
          <w:rFonts w:ascii="Garamond" w:hAnsi="Garamond" w:cs="Arial"/>
          <w:b/>
        </w:rPr>
      </w:pPr>
      <w:r w:rsidRPr="00BE32AE">
        <w:rPr>
          <w:rFonts w:ascii="Garamond" w:hAnsi="Garamond" w:cs="Arial"/>
          <w:b/>
        </w:rPr>
        <w:t>Sector Productivo</w:t>
      </w:r>
    </w:p>
    <w:p w:rsidR="004A748F" w:rsidRDefault="003A3BF5" w:rsidP="000C1827">
      <w:pPr>
        <w:pStyle w:val="NormalWeb"/>
        <w:tabs>
          <w:tab w:val="left" w:pos="567"/>
        </w:tabs>
        <w:spacing w:before="0" w:beforeAutospacing="0" w:after="240" w:afterAutospacing="0" w:line="288" w:lineRule="auto"/>
        <w:jc w:val="both"/>
        <w:rPr>
          <w:rFonts w:ascii="Garamond" w:hAnsi="Garamond" w:cs="Arial"/>
        </w:rPr>
      </w:pPr>
      <w:r w:rsidRPr="00BE32AE">
        <w:rPr>
          <w:rFonts w:ascii="Garamond" w:hAnsi="Garamond" w:cs="Arial"/>
        </w:rPr>
        <w:t>El aparato productivo del país en 2011</w:t>
      </w:r>
      <w:r w:rsidR="004D1D31" w:rsidRPr="00BE32AE">
        <w:rPr>
          <w:rStyle w:val="Refdenotaalpie"/>
          <w:rFonts w:ascii="Garamond" w:hAnsi="Garamond" w:cs="Arial"/>
        </w:rPr>
        <w:footnoteReference w:id="34"/>
      </w:r>
      <w:r w:rsidRPr="00BE32AE">
        <w:rPr>
          <w:rFonts w:ascii="Garamond" w:hAnsi="Garamond" w:cs="Arial"/>
        </w:rPr>
        <w:t xml:space="preserve"> está compuesto por 960.652 empresas</w:t>
      </w:r>
      <w:r w:rsidR="00FD0AB8" w:rsidRPr="00BE32AE">
        <w:rPr>
          <w:rFonts w:ascii="Garamond" w:hAnsi="Garamond" w:cs="Arial"/>
        </w:rPr>
        <w:t xml:space="preserve"> (aumentan en 11,2% con respecto al 2005), que</w:t>
      </w:r>
      <w:r w:rsidRPr="00BE32AE">
        <w:rPr>
          <w:rFonts w:ascii="Garamond" w:hAnsi="Garamond" w:cs="Arial"/>
        </w:rPr>
        <w:t xml:space="preserve"> venden un valor de </w:t>
      </w:r>
      <w:r w:rsidR="00132D7D" w:rsidRPr="00BE32AE">
        <w:rPr>
          <w:rFonts w:ascii="Garamond" w:hAnsi="Garamond" w:cs="Arial"/>
        </w:rPr>
        <w:t>18.294 millones de UF (</w:t>
      </w:r>
      <w:r w:rsidRPr="00BE32AE">
        <w:rPr>
          <w:rFonts w:ascii="Garamond" w:hAnsi="Garamond" w:cs="Arial"/>
        </w:rPr>
        <w:t>$421.515 en miles de millones</w:t>
      </w:r>
      <w:r w:rsidR="00132D7D" w:rsidRPr="00BE32AE">
        <w:rPr>
          <w:rFonts w:ascii="Garamond" w:hAnsi="Garamond" w:cs="Arial"/>
        </w:rPr>
        <w:t>)</w:t>
      </w:r>
      <w:r w:rsidR="007727FD" w:rsidRPr="00BE32AE">
        <w:rPr>
          <w:rFonts w:ascii="Garamond" w:hAnsi="Garamond" w:cs="Arial"/>
        </w:rPr>
        <w:t xml:space="preserve">. La distribución </w:t>
      </w:r>
      <w:r w:rsidR="004D1D31" w:rsidRPr="00BE32AE">
        <w:rPr>
          <w:rFonts w:ascii="Garamond" w:hAnsi="Garamond" w:cs="Arial"/>
        </w:rPr>
        <w:t xml:space="preserve">por </w:t>
      </w:r>
      <w:r w:rsidR="001A79F7" w:rsidRPr="00BE32AE">
        <w:rPr>
          <w:rFonts w:ascii="Garamond" w:hAnsi="Garamond" w:cs="Arial"/>
        </w:rPr>
        <w:t xml:space="preserve">región muestra un menor número </w:t>
      </w:r>
      <w:r w:rsidR="008A3E03" w:rsidRPr="00BE32AE">
        <w:rPr>
          <w:rFonts w:ascii="Garamond" w:hAnsi="Garamond" w:cs="Arial"/>
        </w:rPr>
        <w:t xml:space="preserve">de empresas </w:t>
      </w:r>
      <w:r w:rsidR="001A79F7" w:rsidRPr="00BE32AE">
        <w:rPr>
          <w:rFonts w:ascii="Garamond" w:hAnsi="Garamond" w:cs="Arial"/>
        </w:rPr>
        <w:t xml:space="preserve">por habitante en las regiones mineras, </w:t>
      </w:r>
      <w:r w:rsidR="000E2DD0">
        <w:rPr>
          <w:rFonts w:ascii="Garamond" w:hAnsi="Garamond" w:cs="Arial"/>
        </w:rPr>
        <w:t xml:space="preserve">en </w:t>
      </w:r>
      <w:r w:rsidR="008A3E03" w:rsidRPr="00BE32AE">
        <w:rPr>
          <w:rFonts w:ascii="Garamond" w:hAnsi="Garamond" w:cs="Arial"/>
        </w:rPr>
        <w:t>Valparaíso, Biobío, La Araucanía y Los Lagos</w:t>
      </w:r>
      <w:r w:rsidR="00001195">
        <w:rPr>
          <w:rFonts w:ascii="Garamond" w:hAnsi="Garamond" w:cs="Arial"/>
        </w:rPr>
        <w:t>; y</w:t>
      </w:r>
      <w:r w:rsidR="008A3E03" w:rsidRPr="00BE32AE">
        <w:rPr>
          <w:rFonts w:ascii="Garamond" w:hAnsi="Garamond" w:cs="Arial"/>
        </w:rPr>
        <w:t xml:space="preserve"> el mayor número se produce en Santiago. </w:t>
      </w:r>
    </w:p>
    <w:p w:rsidR="003A3BF5" w:rsidRDefault="00001195" w:rsidP="000C1827">
      <w:pPr>
        <w:pStyle w:val="NormalWeb"/>
        <w:tabs>
          <w:tab w:val="left" w:pos="567"/>
        </w:tabs>
        <w:spacing w:before="0" w:beforeAutospacing="0" w:after="240" w:afterAutospacing="0" w:line="288" w:lineRule="auto"/>
        <w:jc w:val="both"/>
        <w:rPr>
          <w:rFonts w:ascii="Garamond" w:hAnsi="Garamond" w:cs="Arial"/>
        </w:rPr>
      </w:pPr>
      <w:r>
        <w:rPr>
          <w:rFonts w:ascii="Garamond" w:hAnsi="Garamond" w:cs="Arial"/>
        </w:rPr>
        <w:t xml:space="preserve">Esta situación en las regiones mineras se </w:t>
      </w:r>
      <w:r w:rsidR="00D06F16">
        <w:rPr>
          <w:rFonts w:ascii="Garamond" w:hAnsi="Garamond" w:cs="Arial"/>
        </w:rPr>
        <w:t>origina</w:t>
      </w:r>
      <w:r>
        <w:rPr>
          <w:rFonts w:ascii="Garamond" w:hAnsi="Garamond" w:cs="Arial"/>
        </w:rPr>
        <w:t xml:space="preserve"> porque </w:t>
      </w:r>
      <w:r w:rsidR="004A748F">
        <w:rPr>
          <w:rFonts w:ascii="Garamond" w:hAnsi="Garamond" w:cs="Arial"/>
        </w:rPr>
        <w:t xml:space="preserve">los tamaños óptimos que hacen rentables a empresas </w:t>
      </w:r>
      <w:r>
        <w:rPr>
          <w:rFonts w:ascii="Garamond" w:hAnsi="Garamond" w:cs="Arial"/>
        </w:rPr>
        <w:t>en el sector minero</w:t>
      </w:r>
      <w:r w:rsidR="004A748F">
        <w:rPr>
          <w:rFonts w:ascii="Garamond" w:hAnsi="Garamond" w:cs="Arial"/>
        </w:rPr>
        <w:t xml:space="preserve">, </w:t>
      </w:r>
      <w:r>
        <w:rPr>
          <w:rFonts w:ascii="Garamond" w:hAnsi="Garamond" w:cs="Arial"/>
        </w:rPr>
        <w:t>y actividades relacionadas, como la construcción y el transporte</w:t>
      </w:r>
      <w:r w:rsidR="004A748F">
        <w:rPr>
          <w:rFonts w:ascii="Garamond" w:hAnsi="Garamond" w:cs="Arial"/>
        </w:rPr>
        <w:t xml:space="preserve">, requieren </w:t>
      </w:r>
      <w:r w:rsidR="00A37022">
        <w:rPr>
          <w:rFonts w:ascii="Garamond" w:hAnsi="Garamond" w:cs="Arial"/>
        </w:rPr>
        <w:t xml:space="preserve">de volúmenes de operación de mayor nivel que el promedio nacional. </w:t>
      </w:r>
      <w:r w:rsidR="00951E8A" w:rsidRPr="00BE32AE">
        <w:rPr>
          <w:rFonts w:ascii="Garamond" w:hAnsi="Garamond" w:cs="Arial"/>
        </w:rPr>
        <w:t>La distribución por tamaño i</w:t>
      </w:r>
      <w:r w:rsidR="004D1D31" w:rsidRPr="00BE32AE">
        <w:rPr>
          <w:rFonts w:ascii="Garamond" w:hAnsi="Garamond" w:cs="Arial"/>
        </w:rPr>
        <w:t xml:space="preserve">ndica que la microempresa es el 65,3%; la pequeña empresa, 16,8%, la mediana empresa, 2,5% y la gran empresa 1,3%. </w:t>
      </w:r>
    </w:p>
    <w:p w:rsidR="006A1475" w:rsidRPr="004A59DD" w:rsidRDefault="006A1475" w:rsidP="000C1827">
      <w:pPr>
        <w:pStyle w:val="NormalWeb"/>
        <w:tabs>
          <w:tab w:val="left" w:pos="567"/>
        </w:tabs>
        <w:spacing w:before="0" w:beforeAutospacing="0" w:after="240" w:afterAutospacing="0" w:line="288" w:lineRule="auto"/>
        <w:jc w:val="both"/>
        <w:rPr>
          <w:rFonts w:ascii="Garamond" w:hAnsi="Garamond" w:cs="Arial"/>
        </w:rPr>
      </w:pPr>
    </w:p>
    <w:p w:rsidR="006A1475" w:rsidRPr="00BE32AE" w:rsidRDefault="006A1475" w:rsidP="000C1827">
      <w:pPr>
        <w:pStyle w:val="NormalWeb"/>
        <w:numPr>
          <w:ilvl w:val="0"/>
          <w:numId w:val="8"/>
        </w:numPr>
        <w:tabs>
          <w:tab w:val="left" w:pos="567"/>
        </w:tabs>
        <w:spacing w:before="0" w:beforeAutospacing="0" w:after="240" w:afterAutospacing="0" w:line="288" w:lineRule="auto"/>
        <w:ind w:left="0" w:firstLine="0"/>
        <w:jc w:val="both"/>
        <w:rPr>
          <w:rFonts w:ascii="Garamond" w:hAnsi="Garamond" w:cs="Arial"/>
          <w:b/>
        </w:rPr>
      </w:pPr>
      <w:r>
        <w:rPr>
          <w:rFonts w:ascii="Garamond" w:hAnsi="Garamond" w:cs="Arial"/>
          <w:b/>
        </w:rPr>
        <w:t>Construcción</w:t>
      </w:r>
    </w:p>
    <w:p w:rsidR="00E51F91" w:rsidRDefault="004D72E5" w:rsidP="000C1827">
      <w:pPr>
        <w:spacing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A nivel de la construcción </w:t>
      </w:r>
      <w:r w:rsidR="001F40E4">
        <w:rPr>
          <w:rFonts w:ascii="Garamond" w:eastAsia="Times New Roman" w:hAnsi="Garamond" w:cs="Arial"/>
          <w:sz w:val="24"/>
          <w:szCs w:val="24"/>
          <w:lang w:val="es-ES" w:eastAsia="es-ES"/>
        </w:rPr>
        <w:t>de viviendas</w:t>
      </w:r>
      <w:r w:rsidR="009D09C4">
        <w:rPr>
          <w:rFonts w:ascii="Garamond" w:eastAsia="Times New Roman" w:hAnsi="Garamond" w:cs="Arial"/>
          <w:sz w:val="24"/>
          <w:szCs w:val="24"/>
          <w:lang w:val="es-ES" w:eastAsia="es-ES"/>
        </w:rPr>
        <w:t>,</w:t>
      </w:r>
      <w:r w:rsidR="001F40E4">
        <w:rPr>
          <w:rFonts w:ascii="Garamond" w:eastAsia="Times New Roman" w:hAnsi="Garamond" w:cs="Arial"/>
          <w:sz w:val="24"/>
          <w:szCs w:val="24"/>
          <w:lang w:val="es-ES" w:eastAsia="es-ES"/>
        </w:rPr>
        <w:t xml:space="preserve"> industrial</w:t>
      </w:r>
      <w:r w:rsidR="009D09C4">
        <w:rPr>
          <w:rFonts w:ascii="Garamond" w:eastAsia="Times New Roman" w:hAnsi="Garamond" w:cs="Arial"/>
          <w:sz w:val="24"/>
          <w:szCs w:val="24"/>
          <w:lang w:val="es-ES" w:eastAsia="es-ES"/>
        </w:rPr>
        <w:t xml:space="preserve"> y servicios</w:t>
      </w:r>
      <w:r w:rsidR="001F40E4">
        <w:rPr>
          <w:rFonts w:ascii="Garamond" w:eastAsia="Times New Roman" w:hAnsi="Garamond" w:cs="Arial"/>
          <w:sz w:val="24"/>
          <w:szCs w:val="24"/>
          <w:lang w:val="es-ES" w:eastAsia="es-ES"/>
        </w:rPr>
        <w:t>, l</w:t>
      </w:r>
      <w:r w:rsidRPr="004D72E5">
        <w:rPr>
          <w:rFonts w:ascii="Garamond" w:eastAsia="Times New Roman" w:hAnsi="Garamond" w:cs="Arial"/>
          <w:sz w:val="24"/>
          <w:szCs w:val="24"/>
          <w:lang w:val="es-ES" w:eastAsia="es-ES"/>
        </w:rPr>
        <w:t xml:space="preserve">as solicitudes autorizadas de </w:t>
      </w:r>
      <w:r w:rsidR="001F40E4">
        <w:rPr>
          <w:rFonts w:ascii="Garamond" w:eastAsia="Times New Roman" w:hAnsi="Garamond" w:cs="Arial"/>
          <w:sz w:val="24"/>
          <w:szCs w:val="24"/>
          <w:lang w:val="es-ES" w:eastAsia="es-ES"/>
        </w:rPr>
        <w:t xml:space="preserve">edificación </w:t>
      </w:r>
      <w:r w:rsidRPr="004D72E5">
        <w:rPr>
          <w:rFonts w:ascii="Garamond" w:eastAsia="Times New Roman" w:hAnsi="Garamond" w:cs="Arial"/>
          <w:sz w:val="24"/>
          <w:szCs w:val="24"/>
          <w:lang w:val="es-ES" w:eastAsia="es-ES"/>
        </w:rPr>
        <w:t xml:space="preserve">en metros cuadrados durante el </w:t>
      </w:r>
      <w:r w:rsidR="009D09C4">
        <w:rPr>
          <w:rFonts w:ascii="Garamond" w:eastAsia="Times New Roman" w:hAnsi="Garamond" w:cs="Arial"/>
          <w:sz w:val="24"/>
          <w:szCs w:val="24"/>
          <w:lang w:val="es-ES" w:eastAsia="es-ES"/>
        </w:rPr>
        <w:t xml:space="preserve">año 2012 </w:t>
      </w:r>
      <w:r w:rsidRPr="004D72E5">
        <w:rPr>
          <w:rFonts w:ascii="Garamond" w:eastAsia="Times New Roman" w:hAnsi="Garamond" w:cs="Arial"/>
          <w:sz w:val="24"/>
          <w:szCs w:val="24"/>
          <w:lang w:val="es-ES" w:eastAsia="es-ES"/>
        </w:rPr>
        <w:t xml:space="preserve">fueron </w:t>
      </w:r>
      <w:r w:rsidR="009D09C4">
        <w:rPr>
          <w:rFonts w:ascii="Garamond" w:eastAsia="Times New Roman" w:hAnsi="Garamond" w:cs="Arial"/>
          <w:sz w:val="24"/>
          <w:szCs w:val="24"/>
          <w:lang w:val="es-ES" w:eastAsia="es-ES"/>
        </w:rPr>
        <w:t>18.557.714 metros cuadrados</w:t>
      </w:r>
      <w:r w:rsidRPr="004D72E5">
        <w:rPr>
          <w:rFonts w:ascii="Garamond" w:eastAsia="Times New Roman" w:hAnsi="Garamond" w:cs="Arial"/>
          <w:sz w:val="24"/>
          <w:szCs w:val="24"/>
          <w:lang w:val="es-ES" w:eastAsia="es-ES"/>
        </w:rPr>
        <w:t>,</w:t>
      </w:r>
      <w:r w:rsidR="0019118B">
        <w:rPr>
          <w:rFonts w:ascii="Garamond" w:eastAsia="Times New Roman" w:hAnsi="Garamond" w:cs="Arial"/>
          <w:sz w:val="24"/>
          <w:szCs w:val="24"/>
          <w:lang w:val="es-ES" w:eastAsia="es-ES"/>
        </w:rPr>
        <w:t xml:space="preserve"> fluctuando entre 1.798.452, en abril, 1.176055 en septiembre, y</w:t>
      </w:r>
      <w:r w:rsidRPr="004D72E5">
        <w:rPr>
          <w:rFonts w:ascii="Garamond" w:eastAsia="Times New Roman" w:hAnsi="Garamond" w:cs="Arial"/>
          <w:sz w:val="24"/>
          <w:szCs w:val="24"/>
          <w:lang w:val="es-ES" w:eastAsia="es-ES"/>
        </w:rPr>
        <w:t xml:space="preserve"> signific</w:t>
      </w:r>
      <w:r w:rsidR="009D09C4">
        <w:rPr>
          <w:rFonts w:ascii="Garamond" w:eastAsia="Times New Roman" w:hAnsi="Garamond" w:cs="Arial"/>
          <w:sz w:val="24"/>
          <w:szCs w:val="24"/>
          <w:lang w:val="es-ES" w:eastAsia="es-ES"/>
        </w:rPr>
        <w:t>ó</w:t>
      </w:r>
      <w:r w:rsidRPr="004D72E5">
        <w:rPr>
          <w:rFonts w:ascii="Garamond" w:eastAsia="Times New Roman" w:hAnsi="Garamond" w:cs="Arial"/>
          <w:sz w:val="24"/>
          <w:szCs w:val="24"/>
          <w:lang w:val="es-ES" w:eastAsia="es-ES"/>
        </w:rPr>
        <w:t xml:space="preserve"> un</w:t>
      </w:r>
      <w:r w:rsidR="009D09C4">
        <w:rPr>
          <w:rFonts w:ascii="Garamond" w:eastAsia="Times New Roman" w:hAnsi="Garamond" w:cs="Arial"/>
          <w:sz w:val="24"/>
          <w:szCs w:val="24"/>
          <w:lang w:val="es-ES" w:eastAsia="es-ES"/>
        </w:rPr>
        <w:t xml:space="preserve"> aumento con respecto al 2009</w:t>
      </w:r>
      <w:r w:rsidR="00AD13A8">
        <w:rPr>
          <w:rFonts w:ascii="Garamond" w:eastAsia="Times New Roman" w:hAnsi="Garamond" w:cs="Arial"/>
          <w:sz w:val="24"/>
          <w:szCs w:val="24"/>
          <w:lang w:val="es-ES" w:eastAsia="es-ES"/>
        </w:rPr>
        <w:t>,</w:t>
      </w:r>
      <w:r w:rsidR="009D09C4">
        <w:rPr>
          <w:rFonts w:ascii="Garamond" w:eastAsia="Times New Roman" w:hAnsi="Garamond" w:cs="Arial"/>
          <w:sz w:val="24"/>
          <w:szCs w:val="24"/>
          <w:lang w:val="es-ES" w:eastAsia="es-ES"/>
        </w:rPr>
        <w:t xml:space="preserve"> de 14,1%. </w:t>
      </w:r>
      <w:r w:rsidR="00F90D39">
        <w:rPr>
          <w:rFonts w:ascii="Garamond" w:eastAsia="Times New Roman" w:hAnsi="Garamond" w:cs="Arial"/>
          <w:sz w:val="24"/>
          <w:szCs w:val="24"/>
          <w:lang w:val="es-ES" w:eastAsia="es-ES"/>
        </w:rPr>
        <w:t xml:space="preserve">Por sectores, la Vivienda </w:t>
      </w:r>
      <w:r w:rsidR="009927E5">
        <w:rPr>
          <w:rFonts w:ascii="Garamond" w:eastAsia="Times New Roman" w:hAnsi="Garamond" w:cs="Arial"/>
          <w:sz w:val="24"/>
          <w:szCs w:val="24"/>
          <w:lang w:val="es-ES" w:eastAsia="es-ES"/>
        </w:rPr>
        <w:t>(</w:t>
      </w:r>
      <w:r w:rsidR="00F90D39">
        <w:rPr>
          <w:rFonts w:ascii="Garamond" w:eastAsia="Times New Roman" w:hAnsi="Garamond" w:cs="Arial"/>
          <w:sz w:val="24"/>
          <w:szCs w:val="24"/>
          <w:lang w:val="es-ES" w:eastAsia="es-ES"/>
        </w:rPr>
        <w:t>representa el 50% de los permisos de construcción</w:t>
      </w:r>
      <w:r w:rsidR="009927E5">
        <w:rPr>
          <w:rFonts w:ascii="Garamond" w:eastAsia="Times New Roman" w:hAnsi="Garamond" w:cs="Arial"/>
          <w:sz w:val="24"/>
          <w:szCs w:val="24"/>
          <w:lang w:val="es-ES" w:eastAsia="es-ES"/>
        </w:rPr>
        <w:t xml:space="preserve"> en el último año) tiene una caída de </w:t>
      </w:r>
      <w:r w:rsidR="00F90D39">
        <w:rPr>
          <w:rFonts w:ascii="Garamond" w:eastAsia="Times New Roman" w:hAnsi="Garamond" w:cs="Arial"/>
          <w:sz w:val="24"/>
          <w:szCs w:val="24"/>
          <w:lang w:val="es-ES" w:eastAsia="es-ES"/>
        </w:rPr>
        <w:t xml:space="preserve">9,6%, </w:t>
      </w:r>
      <w:r w:rsidR="009927E5">
        <w:rPr>
          <w:rFonts w:ascii="Garamond" w:eastAsia="Times New Roman" w:hAnsi="Garamond" w:cs="Arial"/>
          <w:sz w:val="24"/>
          <w:szCs w:val="24"/>
          <w:lang w:val="es-ES" w:eastAsia="es-ES"/>
        </w:rPr>
        <w:t>entre ambos períodos; lo que es recompensado por las solicitudes en Industria, Comercio y Establecimientos financieros (representan el 33%) que suben 72,5%, e incidiendo en un 77% del aumento. También los permisos para los Servicios crecen en 30,4%. Por regiones</w:t>
      </w:r>
      <w:r w:rsidR="005E35FA">
        <w:rPr>
          <w:rFonts w:ascii="Garamond" w:eastAsia="Times New Roman" w:hAnsi="Garamond" w:cs="Arial"/>
          <w:sz w:val="24"/>
          <w:szCs w:val="24"/>
          <w:lang w:val="es-ES" w:eastAsia="es-ES"/>
        </w:rPr>
        <w:t>,</w:t>
      </w:r>
      <w:r w:rsidR="009D09C4">
        <w:rPr>
          <w:rFonts w:ascii="Garamond" w:eastAsia="Times New Roman" w:hAnsi="Garamond" w:cs="Arial"/>
          <w:sz w:val="24"/>
          <w:szCs w:val="24"/>
          <w:lang w:val="es-ES" w:eastAsia="es-ES"/>
        </w:rPr>
        <w:t xml:space="preserve">el mayor aumento </w:t>
      </w:r>
      <w:r w:rsidR="009927E5">
        <w:rPr>
          <w:rFonts w:ascii="Garamond" w:eastAsia="Times New Roman" w:hAnsi="Garamond" w:cs="Arial"/>
          <w:sz w:val="24"/>
          <w:szCs w:val="24"/>
          <w:lang w:val="es-ES" w:eastAsia="es-ES"/>
        </w:rPr>
        <w:t>se produce en</w:t>
      </w:r>
      <w:r w:rsidR="009D09C4">
        <w:rPr>
          <w:rFonts w:ascii="Garamond" w:eastAsia="Times New Roman" w:hAnsi="Garamond" w:cs="Arial"/>
          <w:sz w:val="24"/>
          <w:szCs w:val="24"/>
          <w:lang w:val="es-ES" w:eastAsia="es-ES"/>
        </w:rPr>
        <w:t xml:space="preserve"> Atacama</w:t>
      </w:r>
      <w:r w:rsidR="00E163D9">
        <w:rPr>
          <w:rFonts w:ascii="Garamond" w:eastAsia="Times New Roman" w:hAnsi="Garamond" w:cs="Arial"/>
          <w:sz w:val="24"/>
          <w:szCs w:val="24"/>
          <w:lang w:val="es-ES" w:eastAsia="es-ES"/>
        </w:rPr>
        <w:t xml:space="preserve"> (3,7% del país)</w:t>
      </w:r>
      <w:r w:rsidR="009D09C4">
        <w:rPr>
          <w:rFonts w:ascii="Garamond" w:eastAsia="Times New Roman" w:hAnsi="Garamond" w:cs="Arial"/>
          <w:sz w:val="24"/>
          <w:szCs w:val="24"/>
          <w:lang w:val="es-ES" w:eastAsia="es-ES"/>
        </w:rPr>
        <w:t xml:space="preserve"> con un 150% de variación, </w:t>
      </w:r>
      <w:r w:rsidR="00046F21">
        <w:rPr>
          <w:rFonts w:ascii="Garamond" w:eastAsia="Times New Roman" w:hAnsi="Garamond" w:cs="Arial"/>
          <w:sz w:val="24"/>
          <w:szCs w:val="24"/>
          <w:lang w:val="es-ES" w:eastAsia="es-ES"/>
        </w:rPr>
        <w:t>determinado fundamentalmente por edificación industrial</w:t>
      </w:r>
      <w:r w:rsidR="00E163D9">
        <w:rPr>
          <w:rFonts w:ascii="Garamond" w:eastAsia="Times New Roman" w:hAnsi="Garamond" w:cs="Arial"/>
          <w:sz w:val="24"/>
          <w:szCs w:val="24"/>
          <w:lang w:val="es-ES" w:eastAsia="es-ES"/>
        </w:rPr>
        <w:t xml:space="preserve"> (representa el 60% del total de la región y el 6,9% del país en la actividad), y crece 344%, incidiendo en 77% de ese incremento; </w:t>
      </w:r>
      <w:r w:rsidR="006408C5">
        <w:rPr>
          <w:rFonts w:ascii="Garamond" w:eastAsia="Times New Roman" w:hAnsi="Garamond" w:cs="Arial"/>
          <w:sz w:val="24"/>
          <w:szCs w:val="24"/>
          <w:lang w:val="es-ES" w:eastAsia="es-ES"/>
        </w:rPr>
        <w:t xml:space="preserve">y </w:t>
      </w:r>
      <w:r w:rsidR="009D09C4">
        <w:rPr>
          <w:rFonts w:ascii="Garamond" w:eastAsia="Times New Roman" w:hAnsi="Garamond" w:cs="Arial"/>
          <w:sz w:val="24"/>
          <w:szCs w:val="24"/>
          <w:lang w:val="es-ES" w:eastAsia="es-ES"/>
        </w:rPr>
        <w:t xml:space="preserve">seguido de </w:t>
      </w:r>
      <w:r w:rsidR="00E163D9">
        <w:rPr>
          <w:rFonts w:ascii="Garamond" w:eastAsia="Times New Roman" w:hAnsi="Garamond" w:cs="Arial"/>
          <w:sz w:val="24"/>
          <w:szCs w:val="24"/>
          <w:lang w:val="es-ES" w:eastAsia="es-ES"/>
        </w:rPr>
        <w:t xml:space="preserve">Tarapacá, que crece 93%, y también está determinado por </w:t>
      </w:r>
      <w:r w:rsidR="009B68FF">
        <w:rPr>
          <w:rFonts w:ascii="Garamond" w:eastAsia="Times New Roman" w:hAnsi="Garamond" w:cs="Arial"/>
          <w:sz w:val="24"/>
          <w:szCs w:val="24"/>
          <w:lang w:val="es-ES" w:eastAsia="es-ES"/>
        </w:rPr>
        <w:t xml:space="preserve">los permisos de edificación industrial, en 150% de aumento. </w:t>
      </w:r>
      <w:r w:rsidR="00D704A0">
        <w:rPr>
          <w:rFonts w:ascii="Garamond" w:eastAsia="Times New Roman" w:hAnsi="Garamond" w:cs="Arial"/>
          <w:sz w:val="24"/>
          <w:szCs w:val="24"/>
          <w:lang w:val="es-ES" w:eastAsia="es-ES"/>
        </w:rPr>
        <w:t xml:space="preserve">Esta situación responde a los mayores </w:t>
      </w:r>
      <w:r w:rsidR="002B32C2">
        <w:rPr>
          <w:rFonts w:ascii="Garamond" w:eastAsia="Times New Roman" w:hAnsi="Garamond" w:cs="Arial"/>
          <w:sz w:val="24"/>
          <w:szCs w:val="24"/>
          <w:lang w:val="es-ES" w:eastAsia="es-ES"/>
        </w:rPr>
        <w:t>esfuerzos de inversión privada</w:t>
      </w:r>
      <w:r w:rsidR="00E7258B">
        <w:rPr>
          <w:rFonts w:ascii="Garamond" w:eastAsia="Times New Roman" w:hAnsi="Garamond" w:cs="Arial"/>
          <w:sz w:val="24"/>
          <w:szCs w:val="24"/>
          <w:lang w:val="es-ES" w:eastAsia="es-ES"/>
        </w:rPr>
        <w:t xml:space="preserve"> que se reflejan en una sección anterior</w:t>
      </w:r>
      <w:r w:rsidR="002B32C2">
        <w:rPr>
          <w:rFonts w:ascii="Garamond" w:eastAsia="Times New Roman" w:hAnsi="Garamond" w:cs="Arial"/>
          <w:sz w:val="24"/>
          <w:szCs w:val="24"/>
          <w:lang w:val="es-ES" w:eastAsia="es-ES"/>
        </w:rPr>
        <w:t>.</w:t>
      </w:r>
    </w:p>
    <w:p w:rsidR="006408C5" w:rsidRDefault="006408C5" w:rsidP="000C1827">
      <w:pPr>
        <w:spacing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Las 4 regiones mineras alcanzan un </w:t>
      </w:r>
      <w:r w:rsidR="009B68FF">
        <w:rPr>
          <w:rFonts w:ascii="Garamond" w:eastAsia="Times New Roman" w:hAnsi="Garamond" w:cs="Arial"/>
          <w:sz w:val="24"/>
          <w:szCs w:val="24"/>
          <w:lang w:val="es-ES" w:eastAsia="es-ES"/>
        </w:rPr>
        <w:t>71</w:t>
      </w:r>
      <w:r>
        <w:rPr>
          <w:rFonts w:ascii="Garamond" w:eastAsia="Times New Roman" w:hAnsi="Garamond" w:cs="Arial"/>
          <w:sz w:val="24"/>
          <w:szCs w:val="24"/>
          <w:lang w:val="es-ES" w:eastAsia="es-ES"/>
        </w:rPr>
        <w:t>% de incremento</w:t>
      </w:r>
      <w:r w:rsidR="00E51F91">
        <w:rPr>
          <w:rFonts w:ascii="Garamond" w:eastAsia="Times New Roman" w:hAnsi="Garamond" w:cs="Arial"/>
          <w:sz w:val="24"/>
          <w:szCs w:val="24"/>
          <w:lang w:val="es-ES" w:eastAsia="es-ES"/>
        </w:rPr>
        <w:t xml:space="preserve"> en 2009 - 2012</w:t>
      </w:r>
      <w:r w:rsidR="009B68FF">
        <w:rPr>
          <w:rFonts w:ascii="Garamond" w:eastAsia="Times New Roman" w:hAnsi="Garamond" w:cs="Arial"/>
          <w:sz w:val="24"/>
          <w:szCs w:val="24"/>
          <w:lang w:val="es-ES" w:eastAsia="es-ES"/>
        </w:rPr>
        <w:t>, con una participación total</w:t>
      </w:r>
      <w:r w:rsidR="00E51F91">
        <w:rPr>
          <w:rFonts w:ascii="Garamond" w:eastAsia="Times New Roman" w:hAnsi="Garamond" w:cs="Arial"/>
          <w:sz w:val="24"/>
          <w:szCs w:val="24"/>
          <w:lang w:val="es-ES" w:eastAsia="es-ES"/>
        </w:rPr>
        <w:t xml:space="preserve"> en el país</w:t>
      </w:r>
      <w:r w:rsidR="009B68FF">
        <w:rPr>
          <w:rFonts w:ascii="Garamond" w:eastAsia="Times New Roman" w:hAnsi="Garamond" w:cs="Arial"/>
          <w:sz w:val="24"/>
          <w:szCs w:val="24"/>
          <w:lang w:val="es-ES" w:eastAsia="es-ES"/>
        </w:rPr>
        <w:t xml:space="preserve"> de 14,5% de l</w:t>
      </w:r>
      <w:r w:rsidR="009E47B8">
        <w:rPr>
          <w:rFonts w:ascii="Garamond" w:eastAsia="Times New Roman" w:hAnsi="Garamond" w:cs="Arial"/>
          <w:sz w:val="24"/>
          <w:szCs w:val="24"/>
          <w:lang w:val="es-ES" w:eastAsia="es-ES"/>
        </w:rPr>
        <w:t>a</w:t>
      </w:r>
      <w:r w:rsidR="009B68FF">
        <w:rPr>
          <w:rFonts w:ascii="Garamond" w:eastAsia="Times New Roman" w:hAnsi="Garamond" w:cs="Arial"/>
          <w:sz w:val="24"/>
          <w:szCs w:val="24"/>
          <w:lang w:val="es-ES" w:eastAsia="es-ES"/>
        </w:rPr>
        <w:t>s solicitudes de construcción</w:t>
      </w:r>
      <w:r w:rsidR="00E51F91">
        <w:rPr>
          <w:rFonts w:ascii="Garamond" w:eastAsia="Times New Roman" w:hAnsi="Garamond" w:cs="Arial"/>
          <w:sz w:val="24"/>
          <w:szCs w:val="24"/>
          <w:lang w:val="es-ES" w:eastAsia="es-ES"/>
        </w:rPr>
        <w:t xml:space="preserve"> en 2012</w:t>
      </w:r>
      <w:r w:rsidR="005351C0">
        <w:rPr>
          <w:rFonts w:ascii="Garamond" w:eastAsia="Times New Roman" w:hAnsi="Garamond" w:cs="Arial"/>
          <w:sz w:val="24"/>
          <w:szCs w:val="24"/>
          <w:lang w:val="es-ES" w:eastAsia="es-ES"/>
        </w:rPr>
        <w:t xml:space="preserve">, que </w:t>
      </w:r>
      <w:r w:rsidR="00E51F91">
        <w:rPr>
          <w:rFonts w:ascii="Garamond" w:eastAsia="Times New Roman" w:hAnsi="Garamond" w:cs="Arial"/>
          <w:sz w:val="24"/>
          <w:szCs w:val="24"/>
          <w:lang w:val="es-ES" w:eastAsia="es-ES"/>
        </w:rPr>
        <w:t xml:space="preserve">supera a la participación de la población, de 12,2%, pero </w:t>
      </w:r>
      <w:r w:rsidR="00F36070">
        <w:rPr>
          <w:rFonts w:ascii="Garamond" w:eastAsia="Times New Roman" w:hAnsi="Garamond" w:cs="Arial"/>
          <w:sz w:val="24"/>
          <w:szCs w:val="24"/>
          <w:lang w:val="es-ES" w:eastAsia="es-ES"/>
        </w:rPr>
        <w:t xml:space="preserve">es </w:t>
      </w:r>
      <w:r w:rsidR="00E51F91">
        <w:rPr>
          <w:rFonts w:ascii="Garamond" w:eastAsia="Times New Roman" w:hAnsi="Garamond" w:cs="Arial"/>
          <w:sz w:val="24"/>
          <w:szCs w:val="24"/>
          <w:lang w:val="es-ES" w:eastAsia="es-ES"/>
        </w:rPr>
        <w:t>inferior a la contribución directa al producto, de 17,2%</w:t>
      </w:r>
      <w:r w:rsidR="004A59DD">
        <w:rPr>
          <w:rStyle w:val="Refdenotaalpie"/>
          <w:rFonts w:ascii="Garamond" w:eastAsia="Times New Roman" w:hAnsi="Garamond" w:cs="Arial"/>
          <w:sz w:val="24"/>
          <w:szCs w:val="24"/>
          <w:lang w:val="es-ES" w:eastAsia="es-ES"/>
        </w:rPr>
        <w:footnoteReference w:id="35"/>
      </w:r>
      <w:r w:rsidR="005351C0">
        <w:rPr>
          <w:rFonts w:ascii="Garamond" w:eastAsia="Times New Roman" w:hAnsi="Garamond" w:cs="Arial"/>
          <w:sz w:val="24"/>
          <w:szCs w:val="24"/>
          <w:lang w:val="es-ES" w:eastAsia="es-ES"/>
        </w:rPr>
        <w:t xml:space="preserve">. Ese incremento </w:t>
      </w:r>
      <w:r w:rsidR="009B68FF">
        <w:rPr>
          <w:rFonts w:ascii="Garamond" w:eastAsia="Times New Roman" w:hAnsi="Garamond" w:cs="Arial"/>
          <w:sz w:val="24"/>
          <w:szCs w:val="24"/>
          <w:lang w:val="es-ES" w:eastAsia="es-ES"/>
        </w:rPr>
        <w:t>está encabezad</w:t>
      </w:r>
      <w:r w:rsidR="004A59DD">
        <w:rPr>
          <w:rFonts w:ascii="Garamond" w:eastAsia="Times New Roman" w:hAnsi="Garamond" w:cs="Arial"/>
          <w:sz w:val="24"/>
          <w:szCs w:val="24"/>
          <w:lang w:val="es-ES" w:eastAsia="es-ES"/>
        </w:rPr>
        <w:t>o</w:t>
      </w:r>
      <w:r w:rsidR="009B68FF">
        <w:rPr>
          <w:rFonts w:ascii="Garamond" w:eastAsia="Times New Roman" w:hAnsi="Garamond" w:cs="Arial"/>
          <w:sz w:val="24"/>
          <w:szCs w:val="24"/>
          <w:lang w:val="es-ES" w:eastAsia="es-ES"/>
        </w:rPr>
        <w:t xml:space="preserve"> por la industria, </w:t>
      </w:r>
      <w:r w:rsidR="009E47B8">
        <w:rPr>
          <w:rFonts w:ascii="Garamond" w:eastAsia="Times New Roman" w:hAnsi="Garamond" w:cs="Arial"/>
          <w:sz w:val="24"/>
          <w:szCs w:val="24"/>
          <w:lang w:val="es-ES" w:eastAsia="es-ES"/>
        </w:rPr>
        <w:t>que aumenta en 142% e incide en 60% del total</w:t>
      </w:r>
      <w:r w:rsidR="00D704A0">
        <w:rPr>
          <w:rFonts w:ascii="Garamond" w:eastAsia="Times New Roman" w:hAnsi="Garamond" w:cs="Arial"/>
          <w:sz w:val="24"/>
          <w:szCs w:val="24"/>
          <w:lang w:val="es-ES" w:eastAsia="es-ES"/>
        </w:rPr>
        <w:t xml:space="preserve"> de esas regiones</w:t>
      </w:r>
      <w:r w:rsidR="005351C0">
        <w:rPr>
          <w:rFonts w:ascii="Garamond" w:eastAsia="Times New Roman" w:hAnsi="Garamond" w:cs="Arial"/>
          <w:sz w:val="24"/>
          <w:szCs w:val="24"/>
          <w:lang w:val="es-ES" w:eastAsia="es-ES"/>
        </w:rPr>
        <w:t xml:space="preserve">.En el período, la importancia de los permisos de construcción de las regiones mineras en el país se elevan desde 9,7% en 2009 a 14,4% en 2012, liderados por las solicitudes en la industria que avanzan desde 13,7% a 19,2%; y en la vivienda, desde 8,2% a 12,9%. En otras regiones de gran tamaño, </w:t>
      </w:r>
      <w:r>
        <w:rPr>
          <w:rFonts w:ascii="Garamond" w:eastAsia="Times New Roman" w:hAnsi="Garamond" w:cs="Arial"/>
          <w:sz w:val="24"/>
          <w:szCs w:val="24"/>
          <w:lang w:val="es-ES" w:eastAsia="es-ES"/>
        </w:rPr>
        <w:t>Santiago recibe el 42%</w:t>
      </w:r>
      <w:r w:rsidR="00EF5845">
        <w:rPr>
          <w:rFonts w:ascii="Garamond" w:eastAsia="Times New Roman" w:hAnsi="Garamond" w:cs="Arial"/>
          <w:sz w:val="24"/>
          <w:szCs w:val="24"/>
          <w:lang w:val="es-ES" w:eastAsia="es-ES"/>
        </w:rPr>
        <w:t xml:space="preserve"> de las solicitudes de edificación en el 2012</w:t>
      </w:r>
      <w:r>
        <w:rPr>
          <w:rFonts w:ascii="Garamond" w:eastAsia="Times New Roman" w:hAnsi="Garamond" w:cs="Arial"/>
          <w:sz w:val="24"/>
          <w:szCs w:val="24"/>
          <w:lang w:val="es-ES" w:eastAsia="es-ES"/>
        </w:rPr>
        <w:t xml:space="preserve">, Biobío el 11,5% y Valparaíso, el 9,6%. </w:t>
      </w:r>
    </w:p>
    <w:p w:rsidR="004D72E5" w:rsidRDefault="00EF5845" w:rsidP="000C1827">
      <w:pPr>
        <w:spacing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En el </w:t>
      </w:r>
      <w:r w:rsidR="004D72E5" w:rsidRPr="00B909FC">
        <w:rPr>
          <w:rFonts w:ascii="Garamond" w:eastAsia="Times New Roman" w:hAnsi="Garamond" w:cs="Arial"/>
          <w:sz w:val="24"/>
          <w:szCs w:val="24"/>
          <w:lang w:val="es-ES" w:eastAsia="es-ES"/>
        </w:rPr>
        <w:t xml:space="preserve">indicador de actividad </w:t>
      </w:r>
      <w:r w:rsidR="00B909FC">
        <w:rPr>
          <w:rFonts w:ascii="Garamond" w:eastAsia="Times New Roman" w:hAnsi="Garamond" w:cs="Arial"/>
          <w:sz w:val="24"/>
          <w:szCs w:val="24"/>
          <w:lang w:val="es-ES" w:eastAsia="es-ES"/>
        </w:rPr>
        <w:t xml:space="preserve">la Cámara de la Construcción, </w:t>
      </w:r>
      <w:r w:rsidR="003E38C0">
        <w:rPr>
          <w:rFonts w:ascii="Garamond" w:eastAsia="Times New Roman" w:hAnsi="Garamond" w:cs="Arial"/>
          <w:sz w:val="24"/>
          <w:szCs w:val="24"/>
          <w:lang w:val="es-ES" w:eastAsia="es-ES"/>
        </w:rPr>
        <w:t xml:space="preserve">muestra una variación entre </w:t>
      </w:r>
      <w:r w:rsidR="00B909FC">
        <w:rPr>
          <w:rFonts w:ascii="Garamond" w:eastAsia="Times New Roman" w:hAnsi="Garamond" w:cs="Arial"/>
          <w:sz w:val="24"/>
          <w:szCs w:val="24"/>
          <w:lang w:val="es-ES" w:eastAsia="es-ES"/>
        </w:rPr>
        <w:t xml:space="preserve">el año </w:t>
      </w:r>
      <w:r>
        <w:rPr>
          <w:rFonts w:ascii="Garamond" w:eastAsia="Times New Roman" w:hAnsi="Garamond" w:cs="Arial"/>
          <w:sz w:val="24"/>
          <w:szCs w:val="24"/>
          <w:lang w:val="es-ES" w:eastAsia="es-ES"/>
        </w:rPr>
        <w:t xml:space="preserve">2010 y </w:t>
      </w:r>
      <w:r w:rsidR="00B909FC">
        <w:rPr>
          <w:rFonts w:ascii="Garamond" w:eastAsia="Times New Roman" w:hAnsi="Garamond" w:cs="Arial"/>
          <w:sz w:val="24"/>
          <w:szCs w:val="24"/>
          <w:lang w:val="es-ES" w:eastAsia="es-ES"/>
        </w:rPr>
        <w:t>2012</w:t>
      </w:r>
      <w:r>
        <w:rPr>
          <w:rFonts w:ascii="Garamond" w:eastAsia="Times New Roman" w:hAnsi="Garamond" w:cs="Arial"/>
          <w:sz w:val="24"/>
          <w:szCs w:val="24"/>
          <w:lang w:val="es-ES" w:eastAsia="es-ES"/>
        </w:rPr>
        <w:t xml:space="preserve"> para las regiones</w:t>
      </w:r>
      <w:r w:rsidR="004D72E5" w:rsidRPr="00B909FC">
        <w:rPr>
          <w:rFonts w:ascii="Garamond" w:eastAsia="Times New Roman" w:hAnsi="Garamond" w:cs="Arial"/>
          <w:sz w:val="24"/>
          <w:szCs w:val="24"/>
          <w:lang w:val="es-ES" w:eastAsia="es-ES"/>
        </w:rPr>
        <w:t xml:space="preserve">, </w:t>
      </w:r>
      <w:r>
        <w:rPr>
          <w:rFonts w:ascii="Garamond" w:eastAsia="Times New Roman" w:hAnsi="Garamond" w:cs="Arial"/>
          <w:sz w:val="24"/>
          <w:szCs w:val="24"/>
          <w:lang w:val="es-ES" w:eastAsia="es-ES"/>
        </w:rPr>
        <w:t xml:space="preserve">siendo también encabezada por Atacama, </w:t>
      </w:r>
      <w:r w:rsidR="009D2ACD">
        <w:rPr>
          <w:rFonts w:ascii="Garamond" w:eastAsia="Times New Roman" w:hAnsi="Garamond" w:cs="Arial"/>
          <w:sz w:val="24"/>
          <w:szCs w:val="24"/>
          <w:lang w:val="es-ES" w:eastAsia="es-ES"/>
        </w:rPr>
        <w:t>con un 60,9% de aumento, seguido de Maule 48,5% y Aysén 47,6. Las 4 regiones mi</w:t>
      </w:r>
      <w:r w:rsidR="00294B6F">
        <w:rPr>
          <w:rFonts w:ascii="Garamond" w:eastAsia="Times New Roman" w:hAnsi="Garamond" w:cs="Arial"/>
          <w:sz w:val="24"/>
          <w:szCs w:val="24"/>
          <w:lang w:val="es-ES" w:eastAsia="es-ES"/>
        </w:rPr>
        <w:t>neras tienen un promedio simple de avance de 25,4%.</w:t>
      </w:r>
      <w:r w:rsidR="004D72E5" w:rsidRPr="00B909FC">
        <w:rPr>
          <w:rFonts w:ascii="Garamond" w:eastAsia="Times New Roman" w:hAnsi="Garamond" w:cs="Arial"/>
          <w:sz w:val="24"/>
          <w:szCs w:val="24"/>
          <w:lang w:val="es-ES" w:eastAsia="es-ES"/>
        </w:rPr>
        <w:t xml:space="preserve"> La diferencia con el indicador de solicitudes de construcción radica en que además de los permisos de construcción, éste incluye el empleo sectorial y los despachos de cemento.</w:t>
      </w:r>
    </w:p>
    <w:p w:rsidR="00E7258B" w:rsidRPr="004D72E5" w:rsidRDefault="00E7258B" w:rsidP="000C1827">
      <w:pPr>
        <w:spacing w:line="288" w:lineRule="auto"/>
        <w:jc w:val="both"/>
        <w:rPr>
          <w:rFonts w:ascii="Garamond" w:eastAsia="Times New Roman" w:hAnsi="Garamond" w:cs="Arial"/>
          <w:sz w:val="24"/>
          <w:szCs w:val="24"/>
          <w:lang w:val="es-ES" w:eastAsia="es-ES"/>
        </w:rPr>
      </w:pPr>
    </w:p>
    <w:p w:rsidR="00E7258B" w:rsidRDefault="00E7258B">
      <w:pPr>
        <w:rPr>
          <w:rFonts w:ascii="Garamond" w:eastAsia="Times New Roman" w:hAnsi="Garamond" w:cs="Arial"/>
          <w:b/>
          <w:sz w:val="24"/>
          <w:szCs w:val="24"/>
          <w:lang w:val="es-ES" w:eastAsia="es-ES"/>
        </w:rPr>
      </w:pPr>
      <w:r>
        <w:rPr>
          <w:rFonts w:ascii="Garamond" w:hAnsi="Garamond" w:cs="Arial"/>
          <w:b/>
        </w:rPr>
        <w:br w:type="page"/>
      </w:r>
    </w:p>
    <w:p w:rsidR="00891F01" w:rsidRPr="00BE32AE" w:rsidRDefault="006A1475" w:rsidP="000C1827">
      <w:pPr>
        <w:pStyle w:val="NormalWeb"/>
        <w:numPr>
          <w:ilvl w:val="0"/>
          <w:numId w:val="8"/>
        </w:numPr>
        <w:tabs>
          <w:tab w:val="left" w:pos="567"/>
        </w:tabs>
        <w:spacing w:before="0" w:beforeAutospacing="0" w:after="240" w:afterAutospacing="0" w:line="288" w:lineRule="auto"/>
        <w:ind w:left="0" w:firstLine="0"/>
        <w:jc w:val="both"/>
        <w:rPr>
          <w:rFonts w:ascii="Garamond" w:hAnsi="Garamond" w:cs="Arial"/>
          <w:b/>
        </w:rPr>
      </w:pPr>
      <w:r>
        <w:rPr>
          <w:rFonts w:ascii="Garamond" w:hAnsi="Garamond" w:cs="Arial"/>
          <w:b/>
        </w:rPr>
        <w:t>Comercio</w:t>
      </w:r>
    </w:p>
    <w:p w:rsidR="00B222D7" w:rsidRDefault="00740F4C"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Las Ventas de Supermercados </w:t>
      </w:r>
      <w:r w:rsidR="00C169DC" w:rsidRPr="00BE32AE">
        <w:rPr>
          <w:rFonts w:ascii="Garamond" w:hAnsi="Garamond" w:cs="Arial"/>
        </w:rPr>
        <w:t xml:space="preserve">en </w:t>
      </w:r>
      <w:r w:rsidRPr="00BE32AE">
        <w:rPr>
          <w:rFonts w:ascii="Garamond" w:hAnsi="Garamond" w:cs="Arial"/>
        </w:rPr>
        <w:t xml:space="preserve">el país </w:t>
      </w:r>
      <w:r w:rsidR="00C169DC" w:rsidRPr="00BE32AE">
        <w:rPr>
          <w:rFonts w:ascii="Garamond" w:hAnsi="Garamond" w:cs="Arial"/>
        </w:rPr>
        <w:t xml:space="preserve">en el año 2012 alcanzan el valor $7.563.925 en millones y crecen </w:t>
      </w:r>
      <w:r w:rsidR="003A447E" w:rsidRPr="00BE32AE">
        <w:rPr>
          <w:rFonts w:ascii="Garamond" w:hAnsi="Garamond" w:cs="Arial"/>
        </w:rPr>
        <w:t>1</w:t>
      </w:r>
      <w:r w:rsidR="006130BA" w:rsidRPr="00BE32AE">
        <w:rPr>
          <w:rFonts w:ascii="Garamond" w:hAnsi="Garamond" w:cs="Arial"/>
        </w:rPr>
        <w:t>3</w:t>
      </w:r>
      <w:r w:rsidR="00C169DC" w:rsidRPr="00BE32AE">
        <w:rPr>
          <w:rFonts w:ascii="Garamond" w:hAnsi="Garamond" w:cs="Arial"/>
        </w:rPr>
        <w:t xml:space="preserve">% </w:t>
      </w:r>
      <w:r w:rsidR="003A447E" w:rsidRPr="00BE32AE">
        <w:rPr>
          <w:rFonts w:ascii="Garamond" w:hAnsi="Garamond" w:cs="Arial"/>
        </w:rPr>
        <w:t>en relación al 2011</w:t>
      </w:r>
      <w:r w:rsidR="009A5526" w:rsidRPr="00BE32AE">
        <w:rPr>
          <w:rFonts w:ascii="Garamond" w:hAnsi="Garamond" w:cs="Arial"/>
        </w:rPr>
        <w:t xml:space="preserve">, variación que </w:t>
      </w:r>
      <w:r w:rsidR="006130BA" w:rsidRPr="00BE32AE">
        <w:rPr>
          <w:rFonts w:ascii="Garamond" w:hAnsi="Garamond" w:cs="Arial"/>
        </w:rPr>
        <w:t xml:space="preserve">es </w:t>
      </w:r>
      <w:r w:rsidR="009A5526" w:rsidRPr="00BE32AE">
        <w:rPr>
          <w:rFonts w:ascii="Garamond" w:hAnsi="Garamond" w:cs="Arial"/>
        </w:rPr>
        <w:t>encabeza</w:t>
      </w:r>
      <w:r w:rsidR="006130BA" w:rsidRPr="00BE32AE">
        <w:rPr>
          <w:rFonts w:ascii="Garamond" w:hAnsi="Garamond" w:cs="Arial"/>
        </w:rPr>
        <w:t>da</w:t>
      </w:r>
      <w:r w:rsidR="009A5526" w:rsidRPr="00BE32AE">
        <w:rPr>
          <w:rFonts w:ascii="Garamond" w:hAnsi="Garamond" w:cs="Arial"/>
        </w:rPr>
        <w:t xml:space="preserve"> por Maule (18,3%), Tarapacá (18,1% y Coquimbo (17,9%), y en los últimos lugares se ubican las regiones australes, de Aysén (2,9%) y Magallanes (5,7%). En tanto que en las regiones mineras aumentan en 14,6%</w:t>
      </w:r>
      <w:r w:rsidR="006130BA" w:rsidRPr="00BE32AE">
        <w:rPr>
          <w:rFonts w:ascii="Garamond" w:hAnsi="Garamond" w:cs="Arial"/>
        </w:rPr>
        <w:t xml:space="preserve">, en 1,6 puntos porcentuales por sobre el promedio del país. </w:t>
      </w:r>
      <w:r w:rsidR="009A5526" w:rsidRPr="00BE32AE">
        <w:rPr>
          <w:rFonts w:ascii="Garamond" w:hAnsi="Garamond" w:cs="Arial"/>
        </w:rPr>
        <w:t xml:space="preserve">Y en la evolución en 20 años (1992-2012) las ventas </w:t>
      </w:r>
      <w:r w:rsidR="003B6AA6">
        <w:rPr>
          <w:rFonts w:ascii="Garamond" w:hAnsi="Garamond" w:cs="Arial"/>
        </w:rPr>
        <w:t xml:space="preserve">nacionales </w:t>
      </w:r>
      <w:r w:rsidR="00C3643B" w:rsidRPr="00BE32AE">
        <w:rPr>
          <w:rFonts w:ascii="Garamond" w:hAnsi="Garamond" w:cs="Arial"/>
        </w:rPr>
        <w:t>crecen 287% en términos reales</w:t>
      </w:r>
      <w:r w:rsidR="009A5526" w:rsidRPr="00BE32AE">
        <w:rPr>
          <w:rFonts w:ascii="Garamond" w:hAnsi="Garamond" w:cs="Arial"/>
        </w:rPr>
        <w:t>,</w:t>
      </w:r>
      <w:r w:rsidR="00C3643B" w:rsidRPr="00BE32AE">
        <w:rPr>
          <w:rStyle w:val="Refdenotaalpie"/>
          <w:rFonts w:ascii="Garamond" w:hAnsi="Garamond" w:cs="Arial"/>
        </w:rPr>
        <w:footnoteReference w:id="36"/>
      </w:r>
      <w:r w:rsidR="009A5526" w:rsidRPr="00BE32AE">
        <w:rPr>
          <w:rFonts w:ascii="Garamond" w:hAnsi="Garamond" w:cs="Arial"/>
        </w:rPr>
        <w:t xml:space="preserve">situándose en primer lugar Coquimbo (651%), </w:t>
      </w:r>
      <w:r w:rsidR="006130BA" w:rsidRPr="00BE32AE">
        <w:rPr>
          <w:rFonts w:ascii="Garamond" w:hAnsi="Garamond" w:cs="Arial"/>
        </w:rPr>
        <w:t xml:space="preserve">seguido de </w:t>
      </w:r>
      <w:r w:rsidR="009A5526" w:rsidRPr="00BE32AE">
        <w:rPr>
          <w:rFonts w:ascii="Garamond" w:hAnsi="Garamond" w:cs="Arial"/>
        </w:rPr>
        <w:t>Antofagasta</w:t>
      </w:r>
      <w:r w:rsidR="006130BA" w:rsidRPr="00BE32AE">
        <w:rPr>
          <w:rFonts w:ascii="Garamond" w:hAnsi="Garamond" w:cs="Arial"/>
        </w:rPr>
        <w:t xml:space="preserve"> (498%), y Atacama (402%), en cambio Tarapacá (184%), lo que arroja un resultado para estas 4 regiones mineras, de 434%, que da una diferencia </w:t>
      </w:r>
      <w:r w:rsidR="003B6AA6">
        <w:rPr>
          <w:rFonts w:ascii="Garamond" w:hAnsi="Garamond" w:cs="Arial"/>
        </w:rPr>
        <w:t xml:space="preserve">positiva </w:t>
      </w:r>
      <w:r w:rsidR="006130BA" w:rsidRPr="00BE32AE">
        <w:rPr>
          <w:rFonts w:ascii="Garamond" w:hAnsi="Garamond" w:cs="Arial"/>
        </w:rPr>
        <w:t>de 146,4 puntos porcentuales</w:t>
      </w:r>
      <w:r w:rsidR="003B6AA6">
        <w:rPr>
          <w:rFonts w:ascii="Garamond" w:hAnsi="Garamond" w:cs="Arial"/>
        </w:rPr>
        <w:t xml:space="preserve"> con respecto al país</w:t>
      </w:r>
      <w:r w:rsidR="006130BA" w:rsidRPr="00BE32AE">
        <w:rPr>
          <w:rFonts w:ascii="Garamond" w:hAnsi="Garamond" w:cs="Arial"/>
        </w:rPr>
        <w:t xml:space="preserve">.Aquello es reflejo del crecimiento en el empleo y los salarios de esas </w:t>
      </w:r>
      <w:r w:rsidR="003B6AA6">
        <w:rPr>
          <w:rFonts w:ascii="Garamond" w:hAnsi="Garamond" w:cs="Arial"/>
        </w:rPr>
        <w:t xml:space="preserve">4 </w:t>
      </w:r>
      <w:r w:rsidR="006130BA" w:rsidRPr="00BE32AE">
        <w:rPr>
          <w:rFonts w:ascii="Garamond" w:hAnsi="Garamond" w:cs="Arial"/>
        </w:rPr>
        <w:t>regiones, que surge de</w:t>
      </w:r>
      <w:r w:rsidR="00F50FC6" w:rsidRPr="00BE32AE">
        <w:rPr>
          <w:rFonts w:ascii="Garamond" w:hAnsi="Garamond" w:cs="Arial"/>
        </w:rPr>
        <w:t>l crecimiento de</w:t>
      </w:r>
      <w:r w:rsidR="006130BA" w:rsidRPr="00BE32AE">
        <w:rPr>
          <w:rFonts w:ascii="Garamond" w:hAnsi="Garamond" w:cs="Arial"/>
        </w:rPr>
        <w:t xml:space="preserve"> lami</w:t>
      </w:r>
      <w:r w:rsidR="00F50FC6" w:rsidRPr="00BE32AE">
        <w:rPr>
          <w:rFonts w:ascii="Garamond" w:hAnsi="Garamond" w:cs="Arial"/>
        </w:rPr>
        <w:t>nería, y sus actividades relacionadas</w:t>
      </w:r>
      <w:r w:rsidR="003F723E">
        <w:rPr>
          <w:rFonts w:ascii="Garamond" w:hAnsi="Garamond" w:cs="Arial"/>
        </w:rPr>
        <w:t xml:space="preserve">, principalmente de la construcción de nuevos </w:t>
      </w:r>
      <w:r w:rsidR="00E7258B">
        <w:rPr>
          <w:rFonts w:ascii="Garamond" w:hAnsi="Garamond" w:cs="Arial"/>
        </w:rPr>
        <w:t xml:space="preserve">proyectos </w:t>
      </w:r>
      <w:r w:rsidR="003F723E">
        <w:rPr>
          <w:rFonts w:ascii="Garamond" w:hAnsi="Garamond" w:cs="Arial"/>
        </w:rPr>
        <w:t>mineros</w:t>
      </w:r>
      <w:r w:rsidR="00F50FC6" w:rsidRPr="00BE32AE">
        <w:rPr>
          <w:rFonts w:ascii="Garamond" w:hAnsi="Garamond" w:cs="Arial"/>
        </w:rPr>
        <w:t xml:space="preserve">. </w:t>
      </w:r>
      <w:r w:rsidR="006A48C8">
        <w:rPr>
          <w:rFonts w:ascii="Garamond" w:hAnsi="Garamond" w:cs="Arial"/>
        </w:rPr>
        <w:t>Las principales variaciones</w:t>
      </w:r>
      <w:r w:rsidR="003F723E">
        <w:rPr>
          <w:rFonts w:ascii="Garamond" w:hAnsi="Garamond" w:cs="Arial"/>
        </w:rPr>
        <w:t>,por sobre el 15%,</w:t>
      </w:r>
      <w:r w:rsidR="006A48C8">
        <w:rPr>
          <w:rFonts w:ascii="Garamond" w:hAnsi="Garamond" w:cs="Arial"/>
        </w:rPr>
        <w:t xml:space="preserve"> se producen en los años 90), con la excepción de Atacama en los años 2006, 2007 y 2008; Coquimbo en 2008; y Tarapacá en 2012 y 2001</w:t>
      </w:r>
    </w:p>
    <w:p w:rsidR="009A2E2A" w:rsidRDefault="005D1A53" w:rsidP="008439C6">
      <w:pPr>
        <w:pStyle w:val="NormalWeb"/>
        <w:spacing w:before="0" w:beforeAutospacing="0" w:after="240" w:afterAutospacing="0" w:line="288" w:lineRule="auto"/>
        <w:ind w:left="993"/>
        <w:jc w:val="both"/>
        <w:rPr>
          <w:rFonts w:ascii="Garamond" w:hAnsi="Garamond" w:cs="Arial"/>
        </w:rPr>
      </w:pPr>
      <w:r>
        <w:rPr>
          <w:noProof/>
          <w:lang w:val="es-CL" w:eastAsia="es-CL"/>
        </w:rPr>
        <w:drawing>
          <wp:inline distT="0" distB="0" distL="0" distR="0" wp14:anchorId="43CDB8E2" wp14:editId="1A596473">
            <wp:extent cx="4459857" cy="2553419"/>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4F28" w:rsidRDefault="005D1A53" w:rsidP="008439C6">
      <w:pPr>
        <w:pStyle w:val="NormalWeb"/>
        <w:spacing w:before="0" w:beforeAutospacing="0" w:after="240" w:afterAutospacing="0" w:line="288" w:lineRule="auto"/>
        <w:ind w:left="993"/>
        <w:jc w:val="both"/>
        <w:rPr>
          <w:rFonts w:ascii="Garamond" w:hAnsi="Garamond" w:cs="Arial"/>
        </w:rPr>
      </w:pPr>
      <w:r>
        <w:rPr>
          <w:noProof/>
          <w:lang w:val="es-CL" w:eastAsia="es-CL"/>
        </w:rPr>
        <w:drawing>
          <wp:inline distT="0" distB="0" distL="0" distR="0" wp14:anchorId="754E6DE4" wp14:editId="4FF574C6">
            <wp:extent cx="4364966" cy="2682815"/>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30BA" w:rsidRPr="00BE32AE" w:rsidRDefault="000C7092" w:rsidP="000C1827">
      <w:pPr>
        <w:pStyle w:val="NormalWeb"/>
        <w:spacing w:before="0" w:beforeAutospacing="0" w:after="240" w:afterAutospacing="0" w:line="288" w:lineRule="auto"/>
        <w:jc w:val="both"/>
        <w:rPr>
          <w:rFonts w:ascii="Garamond" w:hAnsi="Garamond" w:cs="Arial"/>
        </w:rPr>
      </w:pPr>
      <w:r>
        <w:rPr>
          <w:rFonts w:ascii="Garamond" w:hAnsi="Garamond" w:cs="Arial"/>
        </w:rPr>
        <w:t xml:space="preserve">Cabe destacar el alto nivel de las ventas de Coquimbo, que es equivalente a Antofagasta, aun cuando su PIB es </w:t>
      </w:r>
      <w:r w:rsidR="006B0C11">
        <w:rPr>
          <w:rFonts w:ascii="Garamond" w:hAnsi="Garamond" w:cs="Arial"/>
        </w:rPr>
        <w:t>3,3 veces</w:t>
      </w:r>
      <w:r w:rsidR="00E7258B">
        <w:rPr>
          <w:rFonts w:ascii="Garamond" w:hAnsi="Garamond" w:cs="Arial"/>
        </w:rPr>
        <w:t xml:space="preserve"> menor</w:t>
      </w:r>
      <w:r w:rsidR="00EF6D90">
        <w:rPr>
          <w:rFonts w:ascii="Garamond" w:hAnsi="Garamond" w:cs="Arial"/>
        </w:rPr>
        <w:t>.</w:t>
      </w:r>
      <w:r w:rsidR="00F50FC6" w:rsidRPr="00BE32AE">
        <w:rPr>
          <w:rFonts w:ascii="Garamond" w:hAnsi="Garamond" w:cs="Arial"/>
        </w:rPr>
        <w:t xml:space="preserve">En el caso particular </w:t>
      </w:r>
      <w:r w:rsidR="00951E8A" w:rsidRPr="00BE32AE">
        <w:rPr>
          <w:rFonts w:ascii="Garamond" w:hAnsi="Garamond" w:cs="Arial"/>
        </w:rPr>
        <w:t xml:space="preserve">del bajo crecimiento en </w:t>
      </w:r>
      <w:r w:rsidR="00F50FC6" w:rsidRPr="00BE32AE">
        <w:rPr>
          <w:rFonts w:ascii="Garamond" w:hAnsi="Garamond" w:cs="Arial"/>
        </w:rPr>
        <w:t xml:space="preserve">Tarapacá se explica por dos motivos: </w:t>
      </w:r>
      <w:r w:rsidR="006F4C15" w:rsidRPr="00BE32AE">
        <w:rPr>
          <w:rFonts w:ascii="Garamond" w:hAnsi="Garamond" w:cs="Arial"/>
        </w:rPr>
        <w:t xml:space="preserve">primero por la </w:t>
      </w:r>
      <w:r w:rsidR="00F50FC6" w:rsidRPr="00BE32AE">
        <w:rPr>
          <w:rFonts w:ascii="Garamond" w:hAnsi="Garamond" w:cs="Arial"/>
        </w:rPr>
        <w:t xml:space="preserve">existencia de un mercado que había tenido una mayor maduración hace 20 años, por el intercambio que se produce por la Zona Franca, y con los países limítrofes; y porque </w:t>
      </w:r>
      <w:r w:rsidR="006F4C15" w:rsidRPr="00BE32AE">
        <w:rPr>
          <w:rFonts w:ascii="Garamond" w:hAnsi="Garamond" w:cs="Arial"/>
        </w:rPr>
        <w:t xml:space="preserve">la comparación se establece con un territorio que posteriormente se divide, para crear Arica y Parinacota. Es así, que al agregar a esa región en el 2012, el resultado de la variación es de 335%; y con ello las 4 regiones alcanzarían un promedio de 471%. </w:t>
      </w:r>
    </w:p>
    <w:p w:rsidR="002C6F2B" w:rsidRPr="00BE32AE" w:rsidRDefault="00740F4C" w:rsidP="000C1827">
      <w:pPr>
        <w:pStyle w:val="NormalWeb"/>
        <w:spacing w:before="0" w:beforeAutospacing="0" w:after="240" w:afterAutospacing="0" w:line="288" w:lineRule="auto"/>
        <w:jc w:val="both"/>
        <w:rPr>
          <w:rFonts w:ascii="Garamond" w:hAnsi="Garamond" w:cs="Arial"/>
        </w:rPr>
      </w:pPr>
      <w:r w:rsidRPr="00BE32AE">
        <w:rPr>
          <w:rFonts w:ascii="Garamond" w:hAnsi="Garamond" w:cs="Arial"/>
        </w:rPr>
        <w:t xml:space="preserve">La distribución </w:t>
      </w:r>
      <w:r w:rsidR="00A03D05">
        <w:rPr>
          <w:rFonts w:ascii="Garamond" w:hAnsi="Garamond" w:cs="Arial"/>
        </w:rPr>
        <w:t xml:space="preserve">de la participación </w:t>
      </w:r>
      <w:r w:rsidR="00CF57E3" w:rsidRPr="00BE32AE">
        <w:rPr>
          <w:rFonts w:ascii="Garamond" w:hAnsi="Garamond" w:cs="Arial"/>
        </w:rPr>
        <w:t xml:space="preserve">del valor de las ventas </w:t>
      </w:r>
      <w:r w:rsidR="00523D09">
        <w:rPr>
          <w:rFonts w:ascii="Garamond" w:hAnsi="Garamond" w:cs="Arial"/>
        </w:rPr>
        <w:t xml:space="preserve">de supermercados </w:t>
      </w:r>
      <w:r w:rsidR="00BE3D2E" w:rsidRPr="00BE32AE">
        <w:rPr>
          <w:rFonts w:ascii="Garamond" w:hAnsi="Garamond" w:cs="Arial"/>
        </w:rPr>
        <w:t xml:space="preserve">por regiones </w:t>
      </w:r>
      <w:r w:rsidR="00BE3D2E">
        <w:rPr>
          <w:rFonts w:ascii="Garamond" w:hAnsi="Garamond" w:cs="Arial"/>
        </w:rPr>
        <w:t xml:space="preserve">en el país, en el </w:t>
      </w:r>
      <w:r w:rsidR="00CF57E3" w:rsidRPr="00BE32AE">
        <w:rPr>
          <w:rFonts w:ascii="Garamond" w:hAnsi="Garamond" w:cs="Arial"/>
        </w:rPr>
        <w:t xml:space="preserve">2012 supera a </w:t>
      </w:r>
      <w:r w:rsidR="00A03D05">
        <w:rPr>
          <w:rFonts w:ascii="Garamond" w:hAnsi="Garamond" w:cs="Arial"/>
        </w:rPr>
        <w:t xml:space="preserve">la </w:t>
      </w:r>
      <w:r w:rsidR="004A59DD">
        <w:rPr>
          <w:rFonts w:ascii="Garamond" w:hAnsi="Garamond" w:cs="Arial"/>
        </w:rPr>
        <w:t xml:space="preserve">participación de </w:t>
      </w:r>
      <w:r w:rsidR="00A03D05">
        <w:rPr>
          <w:rFonts w:ascii="Garamond" w:hAnsi="Garamond" w:cs="Arial"/>
        </w:rPr>
        <w:t xml:space="preserve">su </w:t>
      </w:r>
      <w:r w:rsidR="00CF57E3" w:rsidRPr="00BE32AE">
        <w:rPr>
          <w:rFonts w:ascii="Garamond" w:hAnsi="Garamond" w:cs="Arial"/>
        </w:rPr>
        <w:t>población</w:t>
      </w:r>
      <w:r w:rsidR="00BE3D2E">
        <w:rPr>
          <w:rStyle w:val="Refdenotaalpie"/>
          <w:rFonts w:ascii="Garamond" w:hAnsi="Garamond" w:cs="Arial"/>
        </w:rPr>
        <w:footnoteReference w:id="37"/>
      </w:r>
      <w:r w:rsidR="00CF57E3" w:rsidRPr="00BE32AE">
        <w:rPr>
          <w:rFonts w:ascii="Garamond" w:hAnsi="Garamond" w:cs="Arial"/>
        </w:rPr>
        <w:t>en dos regiones (Antofagasta, 0,9 pp y Atacama, 0,4 pp, al igual que para las 4 regiones mineras agregadas, 0,4 pp); y es inferior en el resto, destacándose, Biobío, -3,1 pp y Santiago -2 pp</w:t>
      </w:r>
      <w:r w:rsidR="0033699D" w:rsidRPr="00BE32AE">
        <w:rPr>
          <w:rFonts w:ascii="Garamond" w:hAnsi="Garamond" w:cs="Arial"/>
        </w:rPr>
        <w:t>. Y la distribución de</w:t>
      </w:r>
      <w:r w:rsidR="00A03D05">
        <w:rPr>
          <w:rFonts w:ascii="Garamond" w:hAnsi="Garamond" w:cs="Arial"/>
        </w:rPr>
        <w:t xml:space="preserve"> la participación</w:t>
      </w:r>
      <w:r w:rsidR="00BE3D2E">
        <w:rPr>
          <w:rFonts w:ascii="Garamond" w:hAnsi="Garamond" w:cs="Arial"/>
        </w:rPr>
        <w:t xml:space="preserve"> de</w:t>
      </w:r>
      <w:r w:rsidR="0033699D" w:rsidRPr="00BE32AE">
        <w:rPr>
          <w:rFonts w:ascii="Garamond" w:hAnsi="Garamond" w:cs="Arial"/>
        </w:rPr>
        <w:t xml:space="preserve"> las ventas </w:t>
      </w:r>
      <w:r w:rsidR="00B24E91" w:rsidRPr="00BE32AE">
        <w:rPr>
          <w:rFonts w:ascii="Garamond" w:hAnsi="Garamond" w:cs="Arial"/>
        </w:rPr>
        <w:t xml:space="preserve">supera en 8 regiones </w:t>
      </w:r>
      <w:r w:rsidR="0033699D" w:rsidRPr="00BE32AE">
        <w:rPr>
          <w:rFonts w:ascii="Garamond" w:hAnsi="Garamond" w:cs="Arial"/>
        </w:rPr>
        <w:t>a la participación del producto</w:t>
      </w:r>
      <w:r w:rsidR="00523D09">
        <w:rPr>
          <w:rStyle w:val="Refdenotaalpie"/>
          <w:rFonts w:ascii="Garamond" w:hAnsi="Garamond" w:cs="Arial"/>
        </w:rPr>
        <w:footnoteReference w:id="38"/>
      </w:r>
      <w:r w:rsidR="00EA0CF1" w:rsidRPr="00BE32AE">
        <w:rPr>
          <w:rFonts w:ascii="Garamond" w:hAnsi="Garamond" w:cs="Arial"/>
        </w:rPr>
        <w:t>, en mayor medida en La Araucanía (1,7 pp), Los Lagos (1,4 pp) y Valparaíso (1,2 pp)</w:t>
      </w:r>
      <w:r w:rsidR="004D0C5D" w:rsidRPr="00BE32AE">
        <w:rPr>
          <w:rFonts w:ascii="Garamond" w:hAnsi="Garamond" w:cs="Arial"/>
        </w:rPr>
        <w:t xml:space="preserve">. </w:t>
      </w:r>
      <w:r w:rsidR="00AD6E93" w:rsidRPr="00BE32AE">
        <w:rPr>
          <w:rFonts w:ascii="Garamond" w:hAnsi="Garamond" w:cs="Arial"/>
        </w:rPr>
        <w:t>Y</w:t>
      </w:r>
      <w:r w:rsidR="00EA0CF1" w:rsidRPr="00BE32AE">
        <w:rPr>
          <w:rFonts w:ascii="Garamond" w:hAnsi="Garamond" w:cs="Arial"/>
        </w:rPr>
        <w:t xml:space="preserve"> es inferior, en las 7 regiones restantes, en primer lugar en Santiago (-9,8 pp), y Antofagasta (-5,8 pp). Para las 4 regiones mineras, la diferencia es de -7,4 pp. </w:t>
      </w:r>
      <w:r w:rsidR="00AD6E93" w:rsidRPr="00BE32AE">
        <w:rPr>
          <w:rFonts w:ascii="Garamond" w:hAnsi="Garamond" w:cs="Arial"/>
        </w:rPr>
        <w:t xml:space="preserve"> Esto se deriva</w:t>
      </w:r>
      <w:r w:rsidR="000D2222">
        <w:rPr>
          <w:rFonts w:ascii="Garamond" w:hAnsi="Garamond" w:cs="Arial"/>
        </w:rPr>
        <w:t xml:space="preserve">, entre otros efectos </w:t>
      </w:r>
      <w:r w:rsidR="00AD6E93" w:rsidRPr="00BE32AE">
        <w:rPr>
          <w:rFonts w:ascii="Garamond" w:hAnsi="Garamond" w:cs="Arial"/>
        </w:rPr>
        <w:t xml:space="preserve">de </w:t>
      </w:r>
      <w:r w:rsidR="000D2222">
        <w:rPr>
          <w:rFonts w:ascii="Garamond" w:hAnsi="Garamond" w:cs="Arial"/>
        </w:rPr>
        <w:t>la conmutación</w:t>
      </w:r>
      <w:r w:rsidR="00B84B3C">
        <w:rPr>
          <w:rFonts w:ascii="Garamond" w:hAnsi="Garamond" w:cs="Arial"/>
        </w:rPr>
        <w:t>laboral</w:t>
      </w:r>
      <w:r w:rsidR="008439C6">
        <w:rPr>
          <w:rFonts w:ascii="Garamond" w:hAnsi="Garamond" w:cs="Arial"/>
        </w:rPr>
        <w:t xml:space="preserve">, que se refiere a situar el lugar de trabajo en una región diferente que la residencia, que </w:t>
      </w:r>
      <w:r w:rsidR="00B84B3C">
        <w:rPr>
          <w:rFonts w:ascii="Garamond" w:hAnsi="Garamond" w:cs="Arial"/>
        </w:rPr>
        <w:t xml:space="preserve">fue revisado en la sección Empleo. </w:t>
      </w:r>
      <w:r w:rsidR="008439C6">
        <w:rPr>
          <w:rFonts w:ascii="Garamond" w:hAnsi="Garamond" w:cs="Arial"/>
        </w:rPr>
        <w:t xml:space="preserve">Esta situación implica que los conmutantes llevan </w:t>
      </w:r>
      <w:r w:rsidR="00F21C57">
        <w:rPr>
          <w:rFonts w:ascii="Garamond" w:hAnsi="Garamond" w:cs="Arial"/>
        </w:rPr>
        <w:t xml:space="preserve">sus ingresos </w:t>
      </w:r>
      <w:r w:rsidR="008439C6">
        <w:rPr>
          <w:rFonts w:ascii="Garamond" w:hAnsi="Garamond" w:cs="Arial"/>
        </w:rPr>
        <w:t xml:space="preserve">a las regiones en donde tienen su domicilio y en aquellas también realizan sus principales gastos de consumo y compra de servicios. </w:t>
      </w:r>
      <w:r w:rsidR="00F21C57">
        <w:rPr>
          <w:rFonts w:ascii="Garamond" w:hAnsi="Garamond" w:cs="Arial"/>
        </w:rPr>
        <w:t>Este flujo es significativo de acuerdo al comportamiento de las ventas de supermercados.</w:t>
      </w:r>
    </w:p>
    <w:p w:rsidR="00740F4C" w:rsidRDefault="00B24E91" w:rsidP="000C1827">
      <w:pPr>
        <w:tabs>
          <w:tab w:val="left" w:pos="180"/>
        </w:tabs>
        <w:spacing w:after="240" w:line="288" w:lineRule="auto"/>
        <w:jc w:val="both"/>
        <w:rPr>
          <w:rFonts w:ascii="Garamond" w:hAnsi="Garamond"/>
          <w:sz w:val="24"/>
          <w:szCs w:val="24"/>
        </w:rPr>
      </w:pPr>
      <w:r>
        <w:rPr>
          <w:rFonts w:ascii="Garamond" w:hAnsi="Garamond"/>
          <w:sz w:val="24"/>
          <w:szCs w:val="24"/>
        </w:rPr>
        <w:t xml:space="preserve">Otro indicador del comportamiento </w:t>
      </w:r>
      <w:r w:rsidR="006C2C75">
        <w:rPr>
          <w:rFonts w:ascii="Garamond" w:hAnsi="Garamond"/>
          <w:sz w:val="24"/>
          <w:szCs w:val="24"/>
        </w:rPr>
        <w:t xml:space="preserve">del gasto </w:t>
      </w:r>
      <w:r>
        <w:rPr>
          <w:rFonts w:ascii="Garamond" w:hAnsi="Garamond"/>
          <w:sz w:val="24"/>
          <w:szCs w:val="24"/>
        </w:rPr>
        <w:t xml:space="preserve">son los </w:t>
      </w:r>
      <w:r w:rsidR="0003759D" w:rsidRPr="0050313D">
        <w:rPr>
          <w:rFonts w:ascii="Garamond" w:hAnsi="Garamond"/>
          <w:sz w:val="24"/>
          <w:szCs w:val="24"/>
        </w:rPr>
        <w:t>Casinos</w:t>
      </w:r>
      <w:r w:rsidR="0050313D">
        <w:rPr>
          <w:rFonts w:ascii="Garamond" w:hAnsi="Garamond"/>
          <w:sz w:val="24"/>
          <w:szCs w:val="24"/>
        </w:rPr>
        <w:t>de Juego</w:t>
      </w:r>
      <w:r w:rsidR="0050313D">
        <w:rPr>
          <w:rStyle w:val="Refdenotaalpie"/>
          <w:rFonts w:ascii="Garamond" w:hAnsi="Garamond"/>
          <w:sz w:val="24"/>
          <w:szCs w:val="24"/>
        </w:rPr>
        <w:footnoteReference w:id="39"/>
      </w:r>
      <w:r w:rsidR="0050313D">
        <w:rPr>
          <w:rFonts w:ascii="Garamond" w:hAnsi="Garamond"/>
          <w:sz w:val="24"/>
          <w:szCs w:val="24"/>
        </w:rPr>
        <w:t xml:space="preserve"> en un total de 17 establecimientos</w:t>
      </w:r>
      <w:r>
        <w:rPr>
          <w:rFonts w:ascii="Garamond" w:hAnsi="Garamond"/>
          <w:sz w:val="24"/>
          <w:szCs w:val="24"/>
        </w:rPr>
        <w:t>,</w:t>
      </w:r>
      <w:r w:rsidR="0050313D">
        <w:rPr>
          <w:rFonts w:ascii="Garamond" w:hAnsi="Garamond"/>
          <w:sz w:val="24"/>
          <w:szCs w:val="24"/>
        </w:rPr>
        <w:t xml:space="preserve"> tienen un ingreso bruto de 595 millones de dólares durante el año 2012, y 3 de los cuales se encuentran en las regiones mineras, representando el 18,1% de</w:t>
      </w:r>
      <w:r w:rsidR="00EB1B82">
        <w:rPr>
          <w:rFonts w:ascii="Garamond" w:hAnsi="Garamond"/>
          <w:sz w:val="24"/>
          <w:szCs w:val="24"/>
        </w:rPr>
        <w:t xml:space="preserve"> dichos </w:t>
      </w:r>
      <w:r w:rsidR="0050313D">
        <w:rPr>
          <w:rFonts w:ascii="Garamond" w:hAnsi="Garamond"/>
          <w:sz w:val="24"/>
          <w:szCs w:val="24"/>
        </w:rPr>
        <w:t xml:space="preserve">ingresos. </w:t>
      </w:r>
      <w:r w:rsidR="00EB1B82">
        <w:rPr>
          <w:rFonts w:ascii="Garamond" w:hAnsi="Garamond"/>
          <w:sz w:val="24"/>
          <w:szCs w:val="24"/>
        </w:rPr>
        <w:t>En el gasto promedio por visita, el mayor valor lo obtiene un casino que está próximo a la ciudad de Santiago, por US$ 141, y en el tercero, cuarto y quinto lugar se ubican casinos de las regiones mineras, con un gasto promedio entre US$99,7 y US$87,9, que supera el gasto promedio del total de casinos del país, de US$85,4.</w:t>
      </w:r>
    </w:p>
    <w:p w:rsidR="006C2C75" w:rsidRDefault="006C2C75" w:rsidP="000C1827">
      <w:pPr>
        <w:tabs>
          <w:tab w:val="left" w:pos="180"/>
        </w:tabs>
        <w:spacing w:after="240" w:line="288" w:lineRule="auto"/>
        <w:jc w:val="both"/>
        <w:rPr>
          <w:rFonts w:ascii="Garamond" w:hAnsi="Garamond"/>
          <w:sz w:val="24"/>
          <w:szCs w:val="24"/>
        </w:rPr>
      </w:pPr>
    </w:p>
    <w:p w:rsidR="00D1697E" w:rsidRPr="00274A76" w:rsidRDefault="00891F01" w:rsidP="000C1827">
      <w:pPr>
        <w:pStyle w:val="NormalWeb"/>
        <w:numPr>
          <w:ilvl w:val="0"/>
          <w:numId w:val="8"/>
        </w:numPr>
        <w:tabs>
          <w:tab w:val="left" w:pos="567"/>
        </w:tabs>
        <w:spacing w:before="0" w:beforeAutospacing="0" w:after="240" w:afterAutospacing="0" w:line="288" w:lineRule="auto"/>
        <w:ind w:left="0" w:firstLine="0"/>
        <w:jc w:val="both"/>
        <w:rPr>
          <w:rFonts w:ascii="Garamond" w:hAnsi="Garamond"/>
          <w:b/>
        </w:rPr>
      </w:pPr>
      <w:r w:rsidRPr="00274A76">
        <w:rPr>
          <w:rFonts w:ascii="Garamond" w:hAnsi="Garamond" w:cs="Arial"/>
          <w:b/>
        </w:rPr>
        <w:t>Conectividad y Transporte</w:t>
      </w:r>
    </w:p>
    <w:p w:rsidR="00891F01" w:rsidRDefault="00E35911" w:rsidP="000C1827">
      <w:pPr>
        <w:pStyle w:val="NormalWeb"/>
        <w:tabs>
          <w:tab w:val="left" w:pos="567"/>
        </w:tabs>
        <w:spacing w:before="0" w:beforeAutospacing="0" w:after="240" w:afterAutospacing="0" w:line="288" w:lineRule="auto"/>
        <w:jc w:val="both"/>
        <w:rPr>
          <w:rFonts w:ascii="Garamond" w:hAnsi="Garamond"/>
        </w:rPr>
      </w:pPr>
      <w:r>
        <w:rPr>
          <w:rFonts w:ascii="Garamond" w:hAnsi="Garamond"/>
        </w:rPr>
        <w:t xml:space="preserve">La conectividad vial o de información, así como el transporte señalan las condiciones y facilidades de los territorios para alcanzar mayores niveles de crecimiento y de desarrollo. </w:t>
      </w:r>
      <w:r w:rsidR="009655E2">
        <w:rPr>
          <w:rFonts w:ascii="Garamond" w:hAnsi="Garamond"/>
        </w:rPr>
        <w:t>Las conexiones a Internet en el país alcanzan a 2 millones, 222 mil</w:t>
      </w:r>
      <w:r w:rsidR="009655E2">
        <w:rPr>
          <w:rStyle w:val="Refdenotaalpie"/>
          <w:rFonts w:ascii="Garamond" w:hAnsi="Garamond"/>
        </w:rPr>
        <w:footnoteReference w:id="40"/>
      </w:r>
      <w:r w:rsidR="009655E2">
        <w:rPr>
          <w:rFonts w:ascii="Garamond" w:hAnsi="Garamond"/>
        </w:rPr>
        <w:t xml:space="preserve"> en el primer trimestre de 2013</w:t>
      </w:r>
      <w:r w:rsidR="00650444">
        <w:rPr>
          <w:rFonts w:ascii="Garamond" w:hAnsi="Garamond"/>
        </w:rPr>
        <w:t xml:space="preserve">, y logran un aumento de 280%, desde el año 2000. </w:t>
      </w:r>
      <w:r w:rsidR="00713BC4">
        <w:rPr>
          <w:rFonts w:ascii="Garamond" w:hAnsi="Garamond"/>
        </w:rPr>
        <w:t xml:space="preserve">La distribución por regiones muestra a la región de Santiago, con el 52% de total de conexiones, y a las regiones mineras, con el 10,8%, que es un porcentaje inferior a la participación de su población en el país, en 1,4 puntos porcentuales, y en 8,2 pp con respecto </w:t>
      </w:r>
      <w:r w:rsidR="006C2C75">
        <w:rPr>
          <w:rFonts w:ascii="Garamond" w:hAnsi="Garamond"/>
        </w:rPr>
        <w:t>a la participación en e</w:t>
      </w:r>
      <w:r w:rsidR="00713BC4">
        <w:rPr>
          <w:rFonts w:ascii="Garamond" w:hAnsi="Garamond"/>
        </w:rPr>
        <w:t xml:space="preserve">l PIB regionalizado. Al interior de </w:t>
      </w:r>
      <w:r w:rsidR="00AE10BA">
        <w:rPr>
          <w:rFonts w:ascii="Garamond" w:hAnsi="Garamond"/>
        </w:rPr>
        <w:t xml:space="preserve">éstas regiones, Antofagasta tiene una participación de 4,4% a nivel nacional, 3,1%, Coquimbo, 1,9% Tarapacá y 1,4% Atacama. </w:t>
      </w:r>
      <w:r w:rsidR="006D2262">
        <w:rPr>
          <w:rFonts w:ascii="Garamond" w:hAnsi="Garamond"/>
        </w:rPr>
        <w:t>En 13 años la</w:t>
      </w:r>
      <w:r w:rsidR="0087771F">
        <w:rPr>
          <w:rFonts w:ascii="Garamond" w:hAnsi="Garamond"/>
        </w:rPr>
        <w:t xml:space="preserve"> región que tiene mayor crecimiento en conexiones a Internet, es Aysén, con 550%, seguido de Coquimbo, 451%, y Antofagasta, 439%; mientras en las</w:t>
      </w:r>
      <w:r w:rsidR="006D2262">
        <w:rPr>
          <w:rFonts w:ascii="Garamond" w:hAnsi="Garamond"/>
        </w:rPr>
        <w:t xml:space="preserve"> regiones mineras crece </w:t>
      </w:r>
      <w:r w:rsidR="0087771F">
        <w:rPr>
          <w:rFonts w:ascii="Garamond" w:hAnsi="Garamond"/>
        </w:rPr>
        <w:t xml:space="preserve">en </w:t>
      </w:r>
      <w:r w:rsidR="006D2262">
        <w:rPr>
          <w:rFonts w:ascii="Garamond" w:hAnsi="Garamond"/>
        </w:rPr>
        <w:t>379%, en 99 puntos porcentuales por sobre el país, y en 164 pp por sobre Santiago.</w:t>
      </w:r>
    </w:p>
    <w:p w:rsidR="00DE588C" w:rsidRDefault="00723441" w:rsidP="000C1827">
      <w:pPr>
        <w:tabs>
          <w:tab w:val="left" w:pos="180"/>
        </w:tabs>
        <w:spacing w:after="240" w:line="288" w:lineRule="auto"/>
        <w:jc w:val="both"/>
        <w:rPr>
          <w:rFonts w:ascii="Garamond" w:hAnsi="Garamond"/>
          <w:sz w:val="24"/>
          <w:szCs w:val="24"/>
        </w:rPr>
      </w:pPr>
      <w:r>
        <w:rPr>
          <w:rFonts w:ascii="Garamond" w:hAnsi="Garamond"/>
          <w:sz w:val="24"/>
          <w:szCs w:val="24"/>
        </w:rPr>
        <w:t>El servicio de televisión de pago (TV-cable) tiene 2 millones 245 mil suscriptores</w:t>
      </w:r>
      <w:r w:rsidR="00EC6DD6">
        <w:rPr>
          <w:rFonts w:ascii="Garamond" w:hAnsi="Garamond"/>
          <w:sz w:val="24"/>
          <w:szCs w:val="24"/>
        </w:rPr>
        <w:t xml:space="preserve"> en el país, en el primer trimestre del 2013</w:t>
      </w:r>
      <w:r>
        <w:rPr>
          <w:rFonts w:ascii="Garamond" w:hAnsi="Garamond"/>
          <w:sz w:val="24"/>
          <w:szCs w:val="24"/>
        </w:rPr>
        <w:t xml:space="preserve">, </w:t>
      </w:r>
      <w:r w:rsidR="00DB42BE">
        <w:rPr>
          <w:rFonts w:ascii="Garamond" w:hAnsi="Garamond"/>
          <w:sz w:val="24"/>
          <w:szCs w:val="24"/>
        </w:rPr>
        <w:t xml:space="preserve">de los cuales 43% son de la región de Santiago, </w:t>
      </w:r>
      <w:r w:rsidR="0060001F">
        <w:rPr>
          <w:rFonts w:ascii="Garamond" w:hAnsi="Garamond"/>
          <w:sz w:val="24"/>
          <w:szCs w:val="24"/>
        </w:rPr>
        <w:t xml:space="preserve">13,2% de Valparaíso, y 11,4% de Biobío. Las regiones mineras, </w:t>
      </w:r>
      <w:r w:rsidR="006E421E">
        <w:rPr>
          <w:rFonts w:ascii="Garamond" w:hAnsi="Garamond"/>
          <w:sz w:val="24"/>
          <w:szCs w:val="24"/>
        </w:rPr>
        <w:t xml:space="preserve">tienen el </w:t>
      </w:r>
      <w:r w:rsidR="0060001F">
        <w:rPr>
          <w:rFonts w:ascii="Garamond" w:hAnsi="Garamond"/>
          <w:sz w:val="24"/>
          <w:szCs w:val="24"/>
        </w:rPr>
        <w:t xml:space="preserve">11,2, destacando Antofagasta, </w:t>
      </w:r>
      <w:r w:rsidR="006E421E">
        <w:rPr>
          <w:rFonts w:ascii="Garamond" w:hAnsi="Garamond"/>
          <w:sz w:val="24"/>
          <w:szCs w:val="24"/>
        </w:rPr>
        <w:t xml:space="preserve">con el </w:t>
      </w:r>
      <w:r w:rsidR="0060001F">
        <w:rPr>
          <w:rFonts w:ascii="Garamond" w:hAnsi="Garamond"/>
          <w:sz w:val="24"/>
          <w:szCs w:val="24"/>
        </w:rPr>
        <w:t>4,1%.</w:t>
      </w:r>
      <w:r w:rsidR="00DE588C">
        <w:rPr>
          <w:rFonts w:ascii="Garamond" w:hAnsi="Garamond"/>
          <w:sz w:val="24"/>
          <w:szCs w:val="24"/>
        </w:rPr>
        <w:t xml:space="preserve"> El aumento </w:t>
      </w:r>
      <w:r w:rsidR="006E421E">
        <w:rPr>
          <w:rFonts w:ascii="Garamond" w:hAnsi="Garamond"/>
          <w:sz w:val="24"/>
          <w:szCs w:val="24"/>
        </w:rPr>
        <w:t xml:space="preserve">de suscriptores </w:t>
      </w:r>
      <w:r w:rsidR="00DE588C">
        <w:rPr>
          <w:rFonts w:ascii="Garamond" w:hAnsi="Garamond"/>
          <w:sz w:val="24"/>
          <w:szCs w:val="24"/>
        </w:rPr>
        <w:t xml:space="preserve">entre el 2007 y 2013, es de 115% para el país, liderado por Magallanes, </w:t>
      </w:r>
      <w:r w:rsidR="006E421E">
        <w:rPr>
          <w:rFonts w:ascii="Garamond" w:hAnsi="Garamond"/>
          <w:sz w:val="24"/>
          <w:szCs w:val="24"/>
        </w:rPr>
        <w:t xml:space="preserve">con </w:t>
      </w:r>
      <w:r w:rsidR="00DE588C">
        <w:rPr>
          <w:rFonts w:ascii="Garamond" w:hAnsi="Garamond"/>
          <w:sz w:val="24"/>
          <w:szCs w:val="24"/>
        </w:rPr>
        <w:t>281%, y entre las regiones mineras, en Coquimbo</w:t>
      </w:r>
      <w:r w:rsidR="006E421E">
        <w:rPr>
          <w:rFonts w:ascii="Garamond" w:hAnsi="Garamond"/>
          <w:sz w:val="24"/>
          <w:szCs w:val="24"/>
        </w:rPr>
        <w:t xml:space="preserve"> crece 219%</w:t>
      </w:r>
      <w:r w:rsidR="00DE588C">
        <w:rPr>
          <w:rFonts w:ascii="Garamond" w:hAnsi="Garamond"/>
          <w:sz w:val="24"/>
          <w:szCs w:val="24"/>
        </w:rPr>
        <w:t>, con un acumulado de 88%</w:t>
      </w:r>
      <w:r w:rsidR="006E421E">
        <w:rPr>
          <w:rFonts w:ascii="Garamond" w:hAnsi="Garamond"/>
          <w:sz w:val="24"/>
          <w:szCs w:val="24"/>
        </w:rPr>
        <w:t xml:space="preserve"> para las 4 regiones</w:t>
      </w:r>
      <w:r w:rsidR="00DE588C">
        <w:rPr>
          <w:rFonts w:ascii="Garamond" w:hAnsi="Garamond"/>
          <w:sz w:val="24"/>
          <w:szCs w:val="24"/>
        </w:rPr>
        <w:t>.</w:t>
      </w:r>
    </w:p>
    <w:p w:rsidR="00DE588C" w:rsidRDefault="00A7194E" w:rsidP="000C1827">
      <w:pPr>
        <w:tabs>
          <w:tab w:val="left" w:pos="180"/>
        </w:tabs>
        <w:spacing w:after="240" w:line="288" w:lineRule="auto"/>
        <w:jc w:val="both"/>
        <w:rPr>
          <w:rFonts w:ascii="Garamond" w:hAnsi="Garamond"/>
          <w:sz w:val="24"/>
          <w:szCs w:val="24"/>
        </w:rPr>
      </w:pPr>
      <w:r>
        <w:rPr>
          <w:rFonts w:ascii="Garamond" w:hAnsi="Garamond"/>
          <w:sz w:val="24"/>
          <w:szCs w:val="24"/>
        </w:rPr>
        <w:t xml:space="preserve">El </w:t>
      </w:r>
      <w:r w:rsidR="0057255C">
        <w:rPr>
          <w:rFonts w:ascii="Garamond" w:hAnsi="Garamond"/>
          <w:sz w:val="24"/>
          <w:szCs w:val="24"/>
        </w:rPr>
        <w:t xml:space="preserve">número de </w:t>
      </w:r>
      <w:r>
        <w:rPr>
          <w:rFonts w:ascii="Garamond" w:hAnsi="Garamond"/>
          <w:sz w:val="24"/>
          <w:szCs w:val="24"/>
        </w:rPr>
        <w:t xml:space="preserve">llamadas por celular </w:t>
      </w:r>
      <w:r w:rsidR="0057255C">
        <w:rPr>
          <w:rFonts w:ascii="Garamond" w:hAnsi="Garamond"/>
          <w:sz w:val="24"/>
          <w:szCs w:val="24"/>
        </w:rPr>
        <w:t xml:space="preserve">el 2010 fue de 1.612 millones y aumentan 133% en un año. </w:t>
      </w:r>
      <w:r w:rsidR="00EF6D90">
        <w:rPr>
          <w:rFonts w:ascii="Garamond" w:hAnsi="Garamond"/>
          <w:sz w:val="24"/>
          <w:szCs w:val="24"/>
        </w:rPr>
        <w:t>L</w:t>
      </w:r>
      <w:r w:rsidR="0057255C">
        <w:rPr>
          <w:rFonts w:ascii="Garamond" w:hAnsi="Garamond"/>
          <w:sz w:val="24"/>
          <w:szCs w:val="24"/>
        </w:rPr>
        <w:t>a región que más crece es Atacama, en 279%, y las 4 regiones mineras alcanzan un crecimiento de 220%.</w:t>
      </w:r>
    </w:p>
    <w:p w:rsidR="00891F01" w:rsidRDefault="00954AF2" w:rsidP="000C1827">
      <w:pPr>
        <w:tabs>
          <w:tab w:val="left" w:pos="180"/>
        </w:tabs>
        <w:spacing w:after="240" w:line="288" w:lineRule="auto"/>
        <w:jc w:val="both"/>
        <w:rPr>
          <w:rFonts w:ascii="Garamond" w:hAnsi="Garamond"/>
          <w:sz w:val="24"/>
          <w:szCs w:val="24"/>
        </w:rPr>
      </w:pPr>
      <w:r>
        <w:rPr>
          <w:rFonts w:ascii="Garamond" w:hAnsi="Garamond"/>
          <w:sz w:val="24"/>
          <w:szCs w:val="24"/>
        </w:rPr>
        <w:t>La extensión de carreteras y caminos en el país es de un total de 77.764 km en el año 2010, y la región que tiene el mayor longitud es La Araucanía con 12.005 km</w:t>
      </w:r>
      <w:r w:rsidR="00EF6D90">
        <w:rPr>
          <w:rStyle w:val="Refdenotaalpie"/>
          <w:rFonts w:ascii="Garamond" w:hAnsi="Garamond"/>
          <w:sz w:val="24"/>
          <w:szCs w:val="24"/>
        </w:rPr>
        <w:footnoteReference w:id="41"/>
      </w:r>
      <w:r>
        <w:rPr>
          <w:rFonts w:ascii="Garamond" w:hAnsi="Garamond"/>
          <w:sz w:val="24"/>
          <w:szCs w:val="24"/>
        </w:rPr>
        <w:t>, que representan el 15,4% del total, seguido de Biobío, con el 11,9%; en tanto en las regiones mineras la extensión es de 20.</w:t>
      </w:r>
      <w:r w:rsidR="00E35911">
        <w:rPr>
          <w:rFonts w:ascii="Garamond" w:hAnsi="Garamond"/>
          <w:sz w:val="24"/>
          <w:szCs w:val="24"/>
        </w:rPr>
        <w:t>818, con el 26,8%</w:t>
      </w:r>
      <w:r w:rsidR="005E7D2C">
        <w:rPr>
          <w:rFonts w:ascii="Garamond" w:hAnsi="Garamond"/>
          <w:sz w:val="24"/>
          <w:szCs w:val="24"/>
        </w:rPr>
        <w:t xml:space="preserve"> del total</w:t>
      </w:r>
      <w:r w:rsidR="00E35911">
        <w:rPr>
          <w:rFonts w:ascii="Garamond" w:hAnsi="Garamond"/>
          <w:sz w:val="24"/>
          <w:szCs w:val="24"/>
        </w:rPr>
        <w:t>.</w:t>
      </w:r>
    </w:p>
    <w:p w:rsidR="00743B1B" w:rsidRDefault="00743B1B" w:rsidP="000C1827">
      <w:pPr>
        <w:tabs>
          <w:tab w:val="left" w:pos="180"/>
        </w:tabs>
        <w:spacing w:after="240" w:line="288" w:lineRule="auto"/>
        <w:jc w:val="both"/>
        <w:rPr>
          <w:rFonts w:ascii="Garamond" w:hAnsi="Garamond"/>
          <w:sz w:val="24"/>
          <w:szCs w:val="24"/>
        </w:rPr>
      </w:pPr>
      <w:r>
        <w:rPr>
          <w:rFonts w:ascii="Garamond" w:hAnsi="Garamond"/>
          <w:sz w:val="24"/>
          <w:szCs w:val="24"/>
        </w:rPr>
        <w:t xml:space="preserve">El parque de vehículos en circulación en el país en el año 2012 es de 3.973.913, que está compuesto por </w:t>
      </w:r>
      <w:r w:rsidR="00391662">
        <w:rPr>
          <w:rFonts w:ascii="Garamond" w:hAnsi="Garamond"/>
          <w:sz w:val="24"/>
          <w:szCs w:val="24"/>
        </w:rPr>
        <w:t xml:space="preserve">3.885.581 </w:t>
      </w:r>
      <w:r>
        <w:rPr>
          <w:rFonts w:ascii="Garamond" w:hAnsi="Garamond"/>
          <w:sz w:val="24"/>
          <w:szCs w:val="24"/>
        </w:rPr>
        <w:t xml:space="preserve">vehículos motorizados, y 88.332, no motorizados. </w:t>
      </w:r>
      <w:r w:rsidR="00391662">
        <w:rPr>
          <w:rFonts w:ascii="Garamond" w:hAnsi="Garamond"/>
          <w:sz w:val="24"/>
          <w:szCs w:val="24"/>
        </w:rPr>
        <w:t xml:space="preserve">Desde el año 2001 crece 83% a nivel motorizado, mientras </w:t>
      </w:r>
      <w:r w:rsidR="004566E0">
        <w:rPr>
          <w:rFonts w:ascii="Garamond" w:hAnsi="Garamond"/>
          <w:sz w:val="24"/>
          <w:szCs w:val="24"/>
        </w:rPr>
        <w:t xml:space="preserve">que por regiones, en 156% en Aysén (por la ampliación de la Zona Franca de Extensión) y 123% en Coquimbo, en tanto en </w:t>
      </w:r>
      <w:r w:rsidR="00391662">
        <w:rPr>
          <w:rFonts w:ascii="Garamond" w:hAnsi="Garamond"/>
          <w:sz w:val="24"/>
          <w:szCs w:val="24"/>
        </w:rPr>
        <w:t xml:space="preserve">la región de Santiago, en 74%, </w:t>
      </w:r>
      <w:r w:rsidR="004566E0">
        <w:rPr>
          <w:rFonts w:ascii="Garamond" w:hAnsi="Garamond"/>
          <w:sz w:val="24"/>
          <w:szCs w:val="24"/>
        </w:rPr>
        <w:t xml:space="preserve">y </w:t>
      </w:r>
      <w:r w:rsidR="00391662">
        <w:rPr>
          <w:rFonts w:ascii="Garamond" w:hAnsi="Garamond"/>
          <w:sz w:val="24"/>
          <w:szCs w:val="24"/>
        </w:rPr>
        <w:t xml:space="preserve">representando el 41% del país. </w:t>
      </w:r>
      <w:r w:rsidR="004566E0">
        <w:rPr>
          <w:rFonts w:ascii="Garamond" w:hAnsi="Garamond"/>
          <w:sz w:val="24"/>
          <w:szCs w:val="24"/>
        </w:rPr>
        <w:t>En las regiones mineras, el parque representa el 13% del país, y crece en 104%.</w:t>
      </w:r>
    </w:p>
    <w:p w:rsidR="005B3295" w:rsidRDefault="005E7D2C" w:rsidP="000C1827">
      <w:pPr>
        <w:tabs>
          <w:tab w:val="left" w:pos="180"/>
        </w:tabs>
        <w:spacing w:after="240" w:line="288" w:lineRule="auto"/>
        <w:jc w:val="both"/>
        <w:rPr>
          <w:rFonts w:ascii="Garamond" w:hAnsi="Garamond"/>
          <w:sz w:val="24"/>
          <w:szCs w:val="24"/>
        </w:rPr>
      </w:pPr>
      <w:r>
        <w:rPr>
          <w:rFonts w:ascii="Garamond" w:hAnsi="Garamond"/>
          <w:sz w:val="24"/>
          <w:szCs w:val="24"/>
        </w:rPr>
        <w:t>El número de localidades aisladas en el país</w:t>
      </w:r>
      <w:r w:rsidR="000D2222">
        <w:rPr>
          <w:rStyle w:val="Refdenotaalpie"/>
          <w:rFonts w:ascii="Garamond" w:hAnsi="Garamond"/>
          <w:sz w:val="24"/>
          <w:szCs w:val="24"/>
        </w:rPr>
        <w:footnoteReference w:id="42"/>
      </w:r>
      <w:r w:rsidR="00A011C4">
        <w:rPr>
          <w:rStyle w:val="Refdenotaalpie"/>
          <w:rFonts w:ascii="Garamond" w:hAnsi="Garamond"/>
          <w:sz w:val="24"/>
          <w:szCs w:val="24"/>
        </w:rPr>
        <w:footnoteReference w:id="43"/>
      </w:r>
      <w:r w:rsidR="00E70C53">
        <w:rPr>
          <w:rFonts w:ascii="Garamond" w:hAnsi="Garamond"/>
          <w:sz w:val="24"/>
          <w:szCs w:val="24"/>
        </w:rPr>
        <w:t>es de 4.885</w:t>
      </w:r>
      <w:r w:rsidR="00517497">
        <w:rPr>
          <w:rFonts w:ascii="Garamond" w:hAnsi="Garamond"/>
          <w:sz w:val="24"/>
          <w:szCs w:val="24"/>
        </w:rPr>
        <w:t xml:space="preserve">, </w:t>
      </w:r>
      <w:r w:rsidR="005B3295">
        <w:rPr>
          <w:rFonts w:ascii="Garamond" w:hAnsi="Garamond"/>
          <w:sz w:val="24"/>
          <w:szCs w:val="24"/>
        </w:rPr>
        <w:t xml:space="preserve">que están divididas entre la macro zona norte, que reúne al 28%, la macro zona centro, 40% y macro zona sur 33%; </w:t>
      </w:r>
      <w:r w:rsidR="00517497">
        <w:rPr>
          <w:rFonts w:ascii="Garamond" w:hAnsi="Garamond"/>
          <w:sz w:val="24"/>
          <w:szCs w:val="24"/>
        </w:rPr>
        <w:t xml:space="preserve">y las regiones que reúnen el mayor número son Biobío, con el 14,5%, </w:t>
      </w:r>
      <w:r w:rsidR="005B3295">
        <w:rPr>
          <w:rFonts w:ascii="Garamond" w:hAnsi="Garamond"/>
          <w:sz w:val="24"/>
          <w:szCs w:val="24"/>
        </w:rPr>
        <w:t>Magallanes, 12,6% y Coquimbo, 12,2%. Las 4 regiones mineras comprenden el 22,5% del total</w:t>
      </w:r>
      <w:r w:rsidR="000D2222">
        <w:rPr>
          <w:rFonts w:ascii="Garamond" w:hAnsi="Garamond"/>
          <w:sz w:val="24"/>
          <w:szCs w:val="24"/>
        </w:rPr>
        <w:t xml:space="preserve"> de las localidades aisladas a nivel nacional</w:t>
      </w:r>
      <w:r w:rsidR="005B3295">
        <w:rPr>
          <w:rFonts w:ascii="Garamond" w:hAnsi="Garamond"/>
          <w:sz w:val="24"/>
          <w:szCs w:val="24"/>
        </w:rPr>
        <w:t>.</w:t>
      </w:r>
    </w:p>
    <w:p w:rsidR="009606C2" w:rsidRDefault="00CC5C05" w:rsidP="000C1827">
      <w:pPr>
        <w:tabs>
          <w:tab w:val="left" w:pos="180"/>
        </w:tabs>
        <w:spacing w:after="240" w:line="288" w:lineRule="auto"/>
        <w:jc w:val="both"/>
        <w:rPr>
          <w:rFonts w:ascii="Garamond" w:hAnsi="Garamond"/>
          <w:sz w:val="24"/>
          <w:szCs w:val="24"/>
        </w:rPr>
      </w:pPr>
      <w:r>
        <w:rPr>
          <w:rFonts w:ascii="Garamond" w:hAnsi="Garamond"/>
          <w:sz w:val="24"/>
          <w:szCs w:val="24"/>
        </w:rPr>
        <w:t xml:space="preserve">A nivel de tráfico aéreo </w:t>
      </w:r>
      <w:r w:rsidR="00C15D29">
        <w:rPr>
          <w:rFonts w:ascii="Garamond" w:hAnsi="Garamond"/>
          <w:sz w:val="24"/>
          <w:szCs w:val="24"/>
        </w:rPr>
        <w:t>el número de pasajeros de vuelo comercial en el país en el año 2012 son de 8.334.841.</w:t>
      </w:r>
      <w:r w:rsidR="0003759D">
        <w:rPr>
          <w:rFonts w:ascii="Garamond" w:hAnsi="Garamond"/>
          <w:sz w:val="24"/>
          <w:szCs w:val="24"/>
        </w:rPr>
        <w:t xml:space="preserve"> La región de Antofagasta tiene la mayor presencia, con el 2</w:t>
      </w:r>
      <w:r w:rsidR="00100B9B">
        <w:rPr>
          <w:rFonts w:ascii="Garamond" w:hAnsi="Garamond"/>
          <w:sz w:val="24"/>
          <w:szCs w:val="24"/>
        </w:rPr>
        <w:t>8</w:t>
      </w:r>
      <w:r w:rsidR="0003759D">
        <w:rPr>
          <w:rFonts w:ascii="Garamond" w:hAnsi="Garamond"/>
          <w:sz w:val="24"/>
          <w:szCs w:val="24"/>
        </w:rPr>
        <w:t>% del total</w:t>
      </w:r>
      <w:r w:rsidR="00100B9B">
        <w:rPr>
          <w:rFonts w:ascii="Garamond" w:hAnsi="Garamond"/>
          <w:sz w:val="24"/>
          <w:szCs w:val="24"/>
        </w:rPr>
        <w:t>de los pasajeros</w:t>
      </w:r>
      <w:r w:rsidR="00C15D29">
        <w:rPr>
          <w:rFonts w:ascii="Garamond" w:hAnsi="Garamond"/>
          <w:sz w:val="24"/>
          <w:szCs w:val="24"/>
        </w:rPr>
        <w:t>;</w:t>
      </w:r>
      <w:r w:rsidR="0003759D">
        <w:rPr>
          <w:rFonts w:ascii="Garamond" w:hAnsi="Garamond"/>
          <w:sz w:val="24"/>
          <w:szCs w:val="24"/>
        </w:rPr>
        <w:t xml:space="preserve"> seguido de Tarapacá, con el 1</w:t>
      </w:r>
      <w:r w:rsidR="00100B9B">
        <w:rPr>
          <w:rFonts w:ascii="Garamond" w:hAnsi="Garamond"/>
          <w:sz w:val="24"/>
          <w:szCs w:val="24"/>
        </w:rPr>
        <w:t>3</w:t>
      </w:r>
      <w:r w:rsidR="0003759D">
        <w:rPr>
          <w:rFonts w:ascii="Garamond" w:hAnsi="Garamond"/>
          <w:sz w:val="24"/>
          <w:szCs w:val="24"/>
        </w:rPr>
        <w:t xml:space="preserve">%; </w:t>
      </w:r>
      <w:r w:rsidR="00100B9B">
        <w:rPr>
          <w:rFonts w:ascii="Garamond" w:hAnsi="Garamond"/>
          <w:sz w:val="24"/>
          <w:szCs w:val="24"/>
        </w:rPr>
        <w:t>Coquimbo, 7% y Atacama 6%; con lo cual l</w:t>
      </w:r>
      <w:r w:rsidR="0003759D">
        <w:rPr>
          <w:rFonts w:ascii="Garamond" w:hAnsi="Garamond"/>
          <w:sz w:val="24"/>
          <w:szCs w:val="24"/>
        </w:rPr>
        <w:t>as 4 regiones mineras reúnen más de la mitad del tráfico, con el 5</w:t>
      </w:r>
      <w:r w:rsidR="00100B9B">
        <w:rPr>
          <w:rFonts w:ascii="Garamond" w:hAnsi="Garamond"/>
          <w:sz w:val="24"/>
          <w:szCs w:val="24"/>
        </w:rPr>
        <w:t>4</w:t>
      </w:r>
      <w:r w:rsidR="0003759D">
        <w:rPr>
          <w:rFonts w:ascii="Garamond" w:hAnsi="Garamond"/>
          <w:sz w:val="24"/>
          <w:szCs w:val="24"/>
        </w:rPr>
        <w:t xml:space="preserve">%. </w:t>
      </w:r>
      <w:r w:rsidR="001C35E6" w:rsidRPr="009606C2">
        <w:rPr>
          <w:rFonts w:ascii="Garamond" w:hAnsi="Garamond"/>
          <w:sz w:val="24"/>
          <w:szCs w:val="24"/>
        </w:rPr>
        <w:t xml:space="preserve">Esto se relaciona con los antecedentes de conmutación laboral </w:t>
      </w:r>
      <w:r w:rsidR="009606C2" w:rsidRPr="009606C2">
        <w:rPr>
          <w:rFonts w:ascii="Garamond" w:hAnsi="Garamond"/>
          <w:sz w:val="24"/>
          <w:szCs w:val="24"/>
        </w:rPr>
        <w:t xml:space="preserve">que señalan que un porcentaje significativo de los ocupados de una región mantienen su hogar y familia en una región diferente. </w:t>
      </w:r>
    </w:p>
    <w:p w:rsidR="0038151A" w:rsidRDefault="00770A05" w:rsidP="000C1827">
      <w:pPr>
        <w:tabs>
          <w:tab w:val="left" w:pos="180"/>
        </w:tabs>
        <w:spacing w:after="240" w:line="288" w:lineRule="auto"/>
        <w:jc w:val="both"/>
        <w:rPr>
          <w:rFonts w:ascii="Garamond" w:hAnsi="Garamond"/>
          <w:sz w:val="24"/>
          <w:szCs w:val="24"/>
        </w:rPr>
      </w:pPr>
      <w:r>
        <w:rPr>
          <w:rFonts w:ascii="Garamond" w:hAnsi="Garamond"/>
          <w:sz w:val="24"/>
          <w:szCs w:val="24"/>
        </w:rPr>
        <w:t xml:space="preserve">Las naves recaladas en los puertos del país en el año 2010 fueron 18.231, de las cuales 10.836 eran nacionales, y 7.395 extranjeras; y la carga transportada fue de 114 millones 993 mil toneladas, de las cuales, 62 millones de toneladas fue embarcada, y 53 millones desembarcada. </w:t>
      </w:r>
      <w:r w:rsidR="009468E9">
        <w:rPr>
          <w:rFonts w:ascii="Garamond" w:hAnsi="Garamond"/>
          <w:sz w:val="24"/>
          <w:szCs w:val="24"/>
        </w:rPr>
        <w:t>Además, el 79,5% correspondía a navegación exterior y 20,5% a navegación de c</w:t>
      </w:r>
      <w:r w:rsidR="006C5982">
        <w:rPr>
          <w:rFonts w:ascii="Garamond" w:hAnsi="Garamond"/>
          <w:sz w:val="24"/>
          <w:szCs w:val="24"/>
        </w:rPr>
        <w:t>a</w:t>
      </w:r>
      <w:r w:rsidR="009468E9">
        <w:rPr>
          <w:rFonts w:ascii="Garamond" w:hAnsi="Garamond"/>
          <w:sz w:val="24"/>
          <w:szCs w:val="24"/>
        </w:rPr>
        <w:t xml:space="preserve">botaje o nacional. </w:t>
      </w:r>
      <w:r>
        <w:rPr>
          <w:rFonts w:ascii="Garamond" w:hAnsi="Garamond"/>
          <w:sz w:val="24"/>
          <w:szCs w:val="24"/>
        </w:rPr>
        <w:t>P</w:t>
      </w:r>
      <w:r w:rsidR="008B2E11">
        <w:rPr>
          <w:rFonts w:ascii="Garamond" w:hAnsi="Garamond"/>
          <w:sz w:val="24"/>
          <w:szCs w:val="24"/>
        </w:rPr>
        <w:t>or regiones, Los Lagos recibe el mayor porcentaje de naves (25%), y de origen nacional (41%), y Valparaíso, se ubica en segundo lugar (24%), y el primer lugar de naves extranjeras (37%)</w:t>
      </w:r>
      <w:r w:rsidR="004765FF">
        <w:rPr>
          <w:rFonts w:ascii="Garamond" w:hAnsi="Garamond"/>
          <w:sz w:val="24"/>
          <w:szCs w:val="24"/>
        </w:rPr>
        <w:t>. Valparaíso también tiene el primer lugar en tonelaje, 34,6% del total del movimiento de carga, el 2</w:t>
      </w:r>
      <w:r w:rsidR="003229F5">
        <w:rPr>
          <w:rFonts w:ascii="Garamond" w:hAnsi="Garamond"/>
          <w:sz w:val="24"/>
          <w:szCs w:val="24"/>
        </w:rPr>
        <w:t>2,5</w:t>
      </w:r>
      <w:r w:rsidR="004765FF">
        <w:rPr>
          <w:rFonts w:ascii="Garamond" w:hAnsi="Garamond"/>
          <w:sz w:val="24"/>
          <w:szCs w:val="24"/>
        </w:rPr>
        <w:t xml:space="preserve">% de lo embarcado, y el </w:t>
      </w:r>
      <w:r w:rsidR="003229F5">
        <w:rPr>
          <w:rFonts w:ascii="Garamond" w:hAnsi="Garamond"/>
          <w:sz w:val="24"/>
          <w:szCs w:val="24"/>
        </w:rPr>
        <w:t>48,5</w:t>
      </w:r>
      <w:r w:rsidR="004765FF">
        <w:rPr>
          <w:rFonts w:ascii="Garamond" w:hAnsi="Garamond"/>
          <w:sz w:val="24"/>
          <w:szCs w:val="24"/>
        </w:rPr>
        <w:t>% de lo desembarcado</w:t>
      </w:r>
      <w:r w:rsidR="008B2E11">
        <w:rPr>
          <w:rFonts w:ascii="Garamond" w:hAnsi="Garamond"/>
          <w:sz w:val="24"/>
          <w:szCs w:val="24"/>
        </w:rPr>
        <w:t xml:space="preserve">. En las regiones mineras recalan el 17% del total de las naves del país, siendo </w:t>
      </w:r>
      <w:r w:rsidR="00330427">
        <w:rPr>
          <w:rFonts w:ascii="Garamond" w:hAnsi="Garamond"/>
          <w:sz w:val="24"/>
          <w:szCs w:val="24"/>
        </w:rPr>
        <w:t>14% nacionales y 86% extranjeras</w:t>
      </w:r>
      <w:r w:rsidR="00165FFA">
        <w:rPr>
          <w:rFonts w:ascii="Garamond" w:hAnsi="Garamond"/>
          <w:sz w:val="24"/>
          <w:szCs w:val="24"/>
        </w:rPr>
        <w:t xml:space="preserve">. Sin embargo, </w:t>
      </w:r>
      <w:r w:rsidR="00330427">
        <w:rPr>
          <w:rFonts w:ascii="Garamond" w:hAnsi="Garamond"/>
          <w:sz w:val="24"/>
          <w:szCs w:val="24"/>
        </w:rPr>
        <w:t>el movimiento de carga</w:t>
      </w:r>
      <w:r w:rsidR="006620C8">
        <w:rPr>
          <w:rFonts w:ascii="Garamond" w:hAnsi="Garamond"/>
          <w:sz w:val="24"/>
          <w:szCs w:val="24"/>
        </w:rPr>
        <w:t xml:space="preserve"> medido en toneladas</w:t>
      </w:r>
      <w:r w:rsidR="00330427">
        <w:rPr>
          <w:rFonts w:ascii="Garamond" w:hAnsi="Garamond"/>
          <w:sz w:val="24"/>
          <w:szCs w:val="24"/>
        </w:rPr>
        <w:t xml:space="preserve"> fue </w:t>
      </w:r>
      <w:r w:rsidR="00165FFA">
        <w:rPr>
          <w:rFonts w:ascii="Garamond" w:hAnsi="Garamond"/>
          <w:sz w:val="24"/>
          <w:szCs w:val="24"/>
        </w:rPr>
        <w:t xml:space="preserve">mucho mayor, de un </w:t>
      </w:r>
      <w:r w:rsidR="00330427">
        <w:rPr>
          <w:rFonts w:ascii="Garamond" w:hAnsi="Garamond"/>
          <w:sz w:val="24"/>
          <w:szCs w:val="24"/>
        </w:rPr>
        <w:t xml:space="preserve">40% del total del país, </w:t>
      </w:r>
      <w:r w:rsidR="006620C8">
        <w:rPr>
          <w:rFonts w:ascii="Garamond" w:hAnsi="Garamond"/>
          <w:sz w:val="24"/>
          <w:szCs w:val="24"/>
        </w:rPr>
        <w:t xml:space="preserve">del cual un 86% era navegación exterior (43% del total país), </w:t>
      </w:r>
      <w:r w:rsidR="00165FFA">
        <w:rPr>
          <w:rFonts w:ascii="Garamond" w:hAnsi="Garamond"/>
          <w:sz w:val="24"/>
          <w:szCs w:val="24"/>
        </w:rPr>
        <w:t xml:space="preserve">indicando la presencia de las exportaciones de productos mineros. Además, un </w:t>
      </w:r>
      <w:r w:rsidR="006620C8">
        <w:rPr>
          <w:rFonts w:ascii="Garamond" w:hAnsi="Garamond"/>
          <w:sz w:val="24"/>
          <w:szCs w:val="24"/>
        </w:rPr>
        <w:t>14% de</w:t>
      </w:r>
      <w:r w:rsidR="00165FFA">
        <w:rPr>
          <w:rFonts w:ascii="Garamond" w:hAnsi="Garamond"/>
          <w:sz w:val="24"/>
          <w:szCs w:val="24"/>
        </w:rPr>
        <w:t>l movimiento era de</w:t>
      </w:r>
      <w:r w:rsidR="006620C8">
        <w:rPr>
          <w:rFonts w:ascii="Garamond" w:hAnsi="Garamond"/>
          <w:sz w:val="24"/>
          <w:szCs w:val="24"/>
        </w:rPr>
        <w:t xml:space="preserve"> cabotaje (27% del país)</w:t>
      </w:r>
      <w:r w:rsidR="00C40D7F">
        <w:rPr>
          <w:rFonts w:ascii="Garamond" w:hAnsi="Garamond"/>
          <w:sz w:val="24"/>
          <w:szCs w:val="24"/>
        </w:rPr>
        <w:t xml:space="preserve">. Y dicho movimiento está compuesto por </w:t>
      </w:r>
      <w:r w:rsidR="00330427">
        <w:rPr>
          <w:rFonts w:ascii="Garamond" w:hAnsi="Garamond"/>
          <w:sz w:val="24"/>
          <w:szCs w:val="24"/>
        </w:rPr>
        <w:t>el 49% de</w:t>
      </w:r>
      <w:r w:rsidR="0038151A">
        <w:rPr>
          <w:rFonts w:ascii="Garamond" w:hAnsi="Garamond"/>
          <w:sz w:val="24"/>
          <w:szCs w:val="24"/>
        </w:rPr>
        <w:t xml:space="preserve">l embarque </w:t>
      </w:r>
      <w:r w:rsidR="003229F5">
        <w:rPr>
          <w:rFonts w:ascii="Garamond" w:hAnsi="Garamond"/>
          <w:sz w:val="24"/>
          <w:szCs w:val="24"/>
        </w:rPr>
        <w:t xml:space="preserve">(57% del embarque de navegación exterior) </w:t>
      </w:r>
      <w:r w:rsidR="0038151A">
        <w:rPr>
          <w:rFonts w:ascii="Garamond" w:hAnsi="Garamond"/>
          <w:sz w:val="24"/>
          <w:szCs w:val="24"/>
        </w:rPr>
        <w:t>y 29% del desembarque</w:t>
      </w:r>
      <w:r w:rsidR="003229F5">
        <w:rPr>
          <w:rFonts w:ascii="Garamond" w:hAnsi="Garamond"/>
          <w:sz w:val="24"/>
          <w:szCs w:val="24"/>
        </w:rPr>
        <w:t xml:space="preserve"> (</w:t>
      </w:r>
      <w:r w:rsidR="00573889">
        <w:rPr>
          <w:rFonts w:ascii="Garamond" w:hAnsi="Garamond"/>
          <w:sz w:val="24"/>
          <w:szCs w:val="24"/>
        </w:rPr>
        <w:t>40% de navegación de cabotaje)</w:t>
      </w:r>
      <w:r w:rsidR="003229F5">
        <w:rPr>
          <w:rFonts w:ascii="Garamond" w:hAnsi="Garamond"/>
          <w:sz w:val="24"/>
          <w:szCs w:val="24"/>
        </w:rPr>
        <w:t>, a nivel del nacional.</w:t>
      </w:r>
    </w:p>
    <w:p w:rsidR="00317B92" w:rsidRDefault="00317B92" w:rsidP="000C1827">
      <w:pPr>
        <w:spacing w:line="288" w:lineRule="auto"/>
        <w:rPr>
          <w:rFonts w:ascii="Garamond" w:hAnsi="Garamond"/>
          <w:sz w:val="24"/>
          <w:szCs w:val="24"/>
        </w:rPr>
      </w:pPr>
    </w:p>
    <w:p w:rsidR="00317B92" w:rsidRPr="00D1697E" w:rsidRDefault="00317B92" w:rsidP="00325A01">
      <w:pPr>
        <w:pStyle w:val="Prrafodelista"/>
        <w:numPr>
          <w:ilvl w:val="0"/>
          <w:numId w:val="7"/>
        </w:numPr>
        <w:tabs>
          <w:tab w:val="left" w:pos="567"/>
        </w:tabs>
        <w:spacing w:after="240" w:line="288" w:lineRule="auto"/>
        <w:ind w:hanging="720"/>
        <w:rPr>
          <w:rFonts w:ascii="Garamond" w:hAnsi="Garamond"/>
          <w:b/>
          <w:sz w:val="24"/>
          <w:szCs w:val="24"/>
        </w:rPr>
      </w:pPr>
      <w:r w:rsidRPr="00D1697E">
        <w:rPr>
          <w:rFonts w:ascii="Garamond" w:hAnsi="Garamond"/>
          <w:b/>
          <w:sz w:val="24"/>
          <w:szCs w:val="24"/>
        </w:rPr>
        <w:t>Variables sociales</w:t>
      </w:r>
    </w:p>
    <w:p w:rsidR="00D1697E" w:rsidRDefault="00D1697E" w:rsidP="000C1827">
      <w:pPr>
        <w:pStyle w:val="NormalWeb"/>
        <w:numPr>
          <w:ilvl w:val="0"/>
          <w:numId w:val="11"/>
        </w:numPr>
        <w:tabs>
          <w:tab w:val="left" w:pos="567"/>
        </w:tabs>
        <w:spacing w:before="0" w:beforeAutospacing="0" w:after="240" w:afterAutospacing="0" w:line="288" w:lineRule="auto"/>
        <w:ind w:left="0" w:firstLine="0"/>
        <w:jc w:val="both"/>
        <w:rPr>
          <w:rFonts w:ascii="Garamond" w:hAnsi="Garamond" w:cs="Arial"/>
          <w:b/>
        </w:rPr>
      </w:pPr>
      <w:r>
        <w:rPr>
          <w:rFonts w:ascii="Garamond" w:hAnsi="Garamond" w:cs="Arial"/>
          <w:b/>
        </w:rPr>
        <w:t>Población y territorio</w:t>
      </w:r>
    </w:p>
    <w:p w:rsidR="004D7C46" w:rsidRDefault="002D6D9F" w:rsidP="000C1827">
      <w:pPr>
        <w:pStyle w:val="NormalWeb"/>
        <w:tabs>
          <w:tab w:val="left" w:pos="567"/>
        </w:tabs>
        <w:spacing w:before="0" w:beforeAutospacing="0" w:after="240" w:afterAutospacing="0" w:line="288" w:lineRule="auto"/>
        <w:jc w:val="both"/>
        <w:rPr>
          <w:rFonts w:ascii="Garamond" w:hAnsi="Garamond" w:cs="Arial"/>
        </w:rPr>
      </w:pPr>
      <w:r>
        <w:rPr>
          <w:rFonts w:ascii="Garamond" w:hAnsi="Garamond" w:cs="Arial"/>
        </w:rPr>
        <w:t xml:space="preserve">Las estimaciones de población para el país en el año 2013 es de 17.556.815, </w:t>
      </w:r>
      <w:r w:rsidR="00343209">
        <w:rPr>
          <w:rFonts w:ascii="Garamond" w:hAnsi="Garamond" w:cs="Arial"/>
        </w:rPr>
        <w:t>distribuida en 50,5 mujeres y 49,5% hombres. En las regiones mineras esta composición es inversa, de 50,9% en los hombres y de 49,1% en las mujeres; con mayor énfasis en Antofagasta y Tarapacá, con 52,04% en los hombres y 47,96% en las mujeres, mostrando una diferencia de 2,6 y -2,6 puntos porcentuales respectivamente, con el país. En Atacama la diferencia es de 1,57 pp</w:t>
      </w:r>
      <w:r w:rsidR="004D7C46">
        <w:rPr>
          <w:rFonts w:ascii="Garamond" w:hAnsi="Garamond" w:cs="Arial"/>
        </w:rPr>
        <w:t>,</w:t>
      </w:r>
      <w:r w:rsidR="00343209">
        <w:rPr>
          <w:rFonts w:ascii="Garamond" w:hAnsi="Garamond" w:cs="Arial"/>
        </w:rPr>
        <w:t xml:space="preserve"> y 0,03 pp en Coquimbo. </w:t>
      </w:r>
      <w:r w:rsidR="004D7C46">
        <w:rPr>
          <w:rFonts w:ascii="Garamond" w:hAnsi="Garamond" w:cs="Arial"/>
        </w:rPr>
        <w:t>Estos datos, para las 3 primeras regiones también son indicadores de conmutación laboral</w:t>
      </w:r>
      <w:r w:rsidR="00255B9B">
        <w:rPr>
          <w:rFonts w:ascii="Garamond" w:hAnsi="Garamond" w:cs="Arial"/>
        </w:rPr>
        <w:t xml:space="preserve"> porque </w:t>
      </w:r>
      <w:r w:rsidR="008C2438">
        <w:rPr>
          <w:rFonts w:ascii="Garamond" w:hAnsi="Garamond" w:cs="Arial"/>
        </w:rPr>
        <w:t xml:space="preserve">un porcentaje significativo de </w:t>
      </w:r>
      <w:r w:rsidR="00255B9B">
        <w:rPr>
          <w:rFonts w:ascii="Garamond" w:hAnsi="Garamond" w:cs="Arial"/>
        </w:rPr>
        <w:t>los trabajadores de la minería (en su mayoría, hombres) tienen su ocupación en éstas</w:t>
      </w:r>
      <w:r w:rsidR="008C2438">
        <w:rPr>
          <w:rFonts w:ascii="Garamond" w:hAnsi="Garamond" w:cs="Arial"/>
        </w:rPr>
        <w:t xml:space="preserve"> (sobre el 10% de la ocupación, en Antofagasta)</w:t>
      </w:r>
      <w:r w:rsidR="00255B9B">
        <w:rPr>
          <w:rFonts w:ascii="Garamond" w:hAnsi="Garamond" w:cs="Arial"/>
        </w:rPr>
        <w:t xml:space="preserve">, pero en cambio su familia y residencia </w:t>
      </w:r>
      <w:r w:rsidR="008C2438">
        <w:rPr>
          <w:rFonts w:ascii="Garamond" w:hAnsi="Garamond" w:cs="Arial"/>
        </w:rPr>
        <w:t xml:space="preserve">se encuentran </w:t>
      </w:r>
      <w:r w:rsidR="00255B9B">
        <w:rPr>
          <w:rFonts w:ascii="Garamond" w:hAnsi="Garamond" w:cs="Arial"/>
        </w:rPr>
        <w:t>en otras regiones.</w:t>
      </w:r>
    </w:p>
    <w:p w:rsidR="008A4755" w:rsidRDefault="004D7C46" w:rsidP="000C1827">
      <w:pPr>
        <w:pStyle w:val="NormalWeb"/>
        <w:tabs>
          <w:tab w:val="left" w:pos="567"/>
        </w:tabs>
        <w:spacing w:before="0" w:beforeAutospacing="0" w:after="240" w:afterAutospacing="0" w:line="288" w:lineRule="auto"/>
        <w:jc w:val="both"/>
        <w:rPr>
          <w:rFonts w:ascii="Garamond" w:hAnsi="Garamond" w:cs="Arial"/>
        </w:rPr>
      </w:pPr>
      <w:r>
        <w:rPr>
          <w:rFonts w:ascii="Garamond" w:hAnsi="Garamond" w:cs="Arial"/>
        </w:rPr>
        <w:t xml:space="preserve">El territorio </w:t>
      </w:r>
      <w:r w:rsidR="008A4755">
        <w:rPr>
          <w:rFonts w:ascii="Garamond" w:hAnsi="Garamond" w:cs="Arial"/>
        </w:rPr>
        <w:t xml:space="preserve">nacional que excluye el Territorio Chileno Antártico es de 756.069 km2, en donde las regiones mineras comprenden el 37,6% del total; y del cual la región de Antofagasta, tiene el 16,7%. </w:t>
      </w:r>
    </w:p>
    <w:p w:rsidR="00D1697E" w:rsidRPr="004D0450" w:rsidRDefault="00D1697E" w:rsidP="000C1827">
      <w:pPr>
        <w:pStyle w:val="NormalWeb"/>
        <w:tabs>
          <w:tab w:val="left" w:pos="567"/>
        </w:tabs>
        <w:spacing w:before="0" w:beforeAutospacing="0" w:after="240" w:afterAutospacing="0" w:line="288" w:lineRule="auto"/>
        <w:jc w:val="both"/>
        <w:rPr>
          <w:rFonts w:ascii="Garamond" w:hAnsi="Garamond" w:cs="Arial"/>
        </w:rPr>
      </w:pPr>
    </w:p>
    <w:p w:rsidR="00D1697E" w:rsidRDefault="00D1697E" w:rsidP="000C1827">
      <w:pPr>
        <w:pStyle w:val="NormalWeb"/>
        <w:numPr>
          <w:ilvl w:val="0"/>
          <w:numId w:val="11"/>
        </w:numPr>
        <w:tabs>
          <w:tab w:val="left" w:pos="567"/>
        </w:tabs>
        <w:spacing w:before="0" w:beforeAutospacing="0" w:after="240" w:afterAutospacing="0" w:line="288" w:lineRule="auto"/>
        <w:ind w:left="0" w:firstLine="0"/>
        <w:jc w:val="both"/>
        <w:rPr>
          <w:rFonts w:ascii="Garamond" w:hAnsi="Garamond" w:cs="Arial"/>
          <w:b/>
        </w:rPr>
      </w:pPr>
      <w:r>
        <w:rPr>
          <w:rFonts w:ascii="Garamond" w:hAnsi="Garamond" w:cs="Arial"/>
          <w:b/>
        </w:rPr>
        <w:t xml:space="preserve">Pobreza </w:t>
      </w:r>
    </w:p>
    <w:p w:rsidR="004C19F3" w:rsidRDefault="00E94EFF" w:rsidP="000C1827">
      <w:pPr>
        <w:tabs>
          <w:tab w:val="left" w:pos="180"/>
        </w:tabs>
        <w:spacing w:after="240" w:line="288" w:lineRule="auto"/>
        <w:jc w:val="both"/>
        <w:rPr>
          <w:rFonts w:ascii="Garamond" w:hAnsi="Garamond"/>
          <w:sz w:val="24"/>
          <w:szCs w:val="24"/>
        </w:rPr>
      </w:pPr>
      <w:r w:rsidRPr="00E94EFF">
        <w:rPr>
          <w:rFonts w:ascii="Garamond" w:hAnsi="Garamond" w:cs="Arial"/>
          <w:sz w:val="24"/>
          <w:szCs w:val="24"/>
        </w:rPr>
        <w:t xml:space="preserve">En forma </w:t>
      </w:r>
      <w:r w:rsidR="00D83584">
        <w:rPr>
          <w:rFonts w:ascii="Garamond" w:hAnsi="Garamond" w:cs="Arial"/>
          <w:sz w:val="24"/>
          <w:szCs w:val="24"/>
        </w:rPr>
        <w:t xml:space="preserve">inversamente </w:t>
      </w:r>
      <w:r w:rsidRPr="00E94EFF">
        <w:rPr>
          <w:rFonts w:ascii="Garamond" w:hAnsi="Garamond" w:cs="Arial"/>
          <w:sz w:val="24"/>
          <w:szCs w:val="24"/>
        </w:rPr>
        <w:t xml:space="preserve">proporcional al avance positivo de las variables económicas, la pobreza se ha ido reduciendo de manera muy significativa durante </w:t>
      </w:r>
      <w:r w:rsidR="0035058B">
        <w:rPr>
          <w:rFonts w:ascii="Garamond" w:hAnsi="Garamond" w:cs="Arial"/>
          <w:sz w:val="24"/>
          <w:szCs w:val="24"/>
        </w:rPr>
        <w:t xml:space="preserve">los </w:t>
      </w:r>
      <w:r w:rsidRPr="00E94EFF">
        <w:rPr>
          <w:rFonts w:ascii="Garamond" w:hAnsi="Garamond" w:cs="Arial"/>
          <w:sz w:val="24"/>
          <w:szCs w:val="24"/>
        </w:rPr>
        <w:t>últimos 2</w:t>
      </w:r>
      <w:r>
        <w:rPr>
          <w:rFonts w:ascii="Garamond" w:hAnsi="Garamond" w:cs="Arial"/>
          <w:sz w:val="24"/>
          <w:szCs w:val="24"/>
        </w:rPr>
        <w:t>1</w:t>
      </w:r>
      <w:r w:rsidRPr="00E94EFF">
        <w:rPr>
          <w:rFonts w:ascii="Garamond" w:hAnsi="Garamond" w:cs="Arial"/>
          <w:sz w:val="24"/>
          <w:szCs w:val="24"/>
        </w:rPr>
        <w:t xml:space="preserve"> años</w:t>
      </w:r>
      <w:r>
        <w:rPr>
          <w:rFonts w:ascii="Garamond" w:hAnsi="Garamond" w:cs="Arial"/>
          <w:sz w:val="24"/>
          <w:szCs w:val="24"/>
        </w:rPr>
        <w:t xml:space="preserve"> (1990-2011)</w:t>
      </w:r>
      <w:r w:rsidR="0035058B">
        <w:rPr>
          <w:rFonts w:ascii="Garamond" w:hAnsi="Garamond" w:cs="Arial"/>
          <w:sz w:val="24"/>
          <w:szCs w:val="24"/>
        </w:rPr>
        <w:t xml:space="preserve">, cayendo en </w:t>
      </w:r>
      <w:r w:rsidR="00FE1275">
        <w:rPr>
          <w:rFonts w:ascii="Garamond" w:hAnsi="Garamond" w:cs="Arial"/>
          <w:sz w:val="24"/>
          <w:szCs w:val="24"/>
        </w:rPr>
        <w:t xml:space="preserve">24,1 puntos porcentuales (de 38.6% </w:t>
      </w:r>
      <w:r w:rsidR="00E73F2F">
        <w:rPr>
          <w:rFonts w:ascii="Garamond" w:hAnsi="Garamond" w:cs="Arial"/>
          <w:sz w:val="24"/>
          <w:szCs w:val="24"/>
        </w:rPr>
        <w:t xml:space="preserve">de participación en el país </w:t>
      </w:r>
      <w:r w:rsidR="00FE1275">
        <w:rPr>
          <w:rFonts w:ascii="Garamond" w:hAnsi="Garamond" w:cs="Arial"/>
          <w:sz w:val="24"/>
          <w:szCs w:val="24"/>
        </w:rPr>
        <w:t>a 14,4%)</w:t>
      </w:r>
      <w:r w:rsidR="00E73F2F">
        <w:rPr>
          <w:rFonts w:ascii="Garamond" w:hAnsi="Garamond" w:cs="Arial"/>
          <w:sz w:val="24"/>
          <w:szCs w:val="24"/>
        </w:rPr>
        <w:t xml:space="preserve">, o la disminución de 50,7% de las personas en esa situación. Los indigentes </w:t>
      </w:r>
      <w:r w:rsidR="0082107D">
        <w:rPr>
          <w:rFonts w:ascii="Garamond" w:hAnsi="Garamond" w:cs="Arial"/>
          <w:sz w:val="24"/>
          <w:szCs w:val="24"/>
        </w:rPr>
        <w:t xml:space="preserve">se reducen en 10,2 pp (de 13% a 2,8%), que implica una baja de 72% de la población en </w:t>
      </w:r>
      <w:r w:rsidR="004A2BB6">
        <w:rPr>
          <w:rFonts w:ascii="Garamond" w:hAnsi="Garamond" w:cs="Arial"/>
          <w:sz w:val="24"/>
          <w:szCs w:val="24"/>
        </w:rPr>
        <w:t>ese estado</w:t>
      </w:r>
      <w:r w:rsidR="0082107D">
        <w:rPr>
          <w:rFonts w:ascii="Garamond" w:hAnsi="Garamond" w:cs="Arial"/>
          <w:sz w:val="24"/>
          <w:szCs w:val="24"/>
        </w:rPr>
        <w:t xml:space="preserve">; y además, </w:t>
      </w:r>
      <w:r w:rsidR="0035058B">
        <w:rPr>
          <w:rFonts w:ascii="Garamond" w:hAnsi="Garamond" w:cs="Arial"/>
          <w:sz w:val="24"/>
          <w:szCs w:val="24"/>
        </w:rPr>
        <w:t>para los pobres no indigentes</w:t>
      </w:r>
      <w:r w:rsidR="006D3C02">
        <w:rPr>
          <w:rFonts w:ascii="Garamond" w:hAnsi="Garamond" w:cs="Arial"/>
          <w:sz w:val="24"/>
          <w:szCs w:val="24"/>
        </w:rPr>
        <w:t xml:space="preserve">, </w:t>
      </w:r>
      <w:r w:rsidR="0082107D">
        <w:rPr>
          <w:rFonts w:ascii="Garamond" w:hAnsi="Garamond" w:cs="Arial"/>
          <w:sz w:val="24"/>
          <w:szCs w:val="24"/>
        </w:rPr>
        <w:t xml:space="preserve">la caída es de </w:t>
      </w:r>
      <w:r w:rsidR="006D3C02">
        <w:rPr>
          <w:rFonts w:ascii="Garamond" w:hAnsi="Garamond" w:cs="Arial"/>
          <w:sz w:val="24"/>
          <w:szCs w:val="24"/>
        </w:rPr>
        <w:t>13,9 pp</w:t>
      </w:r>
      <w:r w:rsidR="0082107D">
        <w:rPr>
          <w:rFonts w:ascii="Garamond" w:hAnsi="Garamond" w:cs="Arial"/>
          <w:sz w:val="24"/>
          <w:szCs w:val="24"/>
        </w:rPr>
        <w:t xml:space="preserve"> (25,6% a 11,7%), que equivale a una reducción de 40,5% de la población en esa condición. </w:t>
      </w:r>
      <w:r w:rsidR="0035058B">
        <w:rPr>
          <w:rFonts w:ascii="Garamond" w:hAnsi="Garamond" w:cs="Arial"/>
          <w:sz w:val="24"/>
          <w:szCs w:val="24"/>
        </w:rPr>
        <w:t>Por género, los hombres disminuyen en mayor medida que las mujeres, tanto en los indigentes, 73,5 y 70,2%, como en los pobres</w:t>
      </w:r>
      <w:r w:rsidR="00BF7D6C">
        <w:rPr>
          <w:rFonts w:ascii="Garamond" w:hAnsi="Garamond" w:cs="Arial"/>
          <w:sz w:val="24"/>
          <w:szCs w:val="24"/>
        </w:rPr>
        <w:t xml:space="preserve"> no indigentes</w:t>
      </w:r>
      <w:r w:rsidR="0035058B">
        <w:rPr>
          <w:rFonts w:ascii="Garamond" w:hAnsi="Garamond" w:cs="Arial"/>
          <w:sz w:val="24"/>
          <w:szCs w:val="24"/>
        </w:rPr>
        <w:t xml:space="preserve">, </w:t>
      </w:r>
      <w:r w:rsidR="0035058B" w:rsidRPr="00246E56">
        <w:rPr>
          <w:rFonts w:ascii="Garamond" w:hAnsi="Garamond"/>
          <w:sz w:val="24"/>
          <w:szCs w:val="24"/>
        </w:rPr>
        <w:t xml:space="preserve">en 45,2 y 35%, respectivamente. </w:t>
      </w:r>
      <w:r w:rsidR="004C19F3">
        <w:rPr>
          <w:rFonts w:ascii="Garamond" w:hAnsi="Garamond"/>
          <w:sz w:val="24"/>
          <w:szCs w:val="24"/>
        </w:rPr>
        <w:t xml:space="preserve">A nivel del total de pobres, en los hombres se reduce en 54,7%, y en las mujeres en 47,1%. </w:t>
      </w:r>
    </w:p>
    <w:p w:rsidR="00246E56" w:rsidRPr="004C19F3" w:rsidRDefault="0035058B" w:rsidP="000C1827">
      <w:pPr>
        <w:tabs>
          <w:tab w:val="left" w:pos="180"/>
        </w:tabs>
        <w:spacing w:after="240" w:line="288" w:lineRule="auto"/>
        <w:jc w:val="both"/>
        <w:rPr>
          <w:rFonts w:ascii="Garamond" w:hAnsi="Garamond" w:cs="Arial"/>
          <w:sz w:val="24"/>
          <w:szCs w:val="24"/>
        </w:rPr>
      </w:pPr>
      <w:r w:rsidRPr="00246E56">
        <w:rPr>
          <w:rFonts w:ascii="Garamond" w:hAnsi="Garamond"/>
          <w:sz w:val="24"/>
          <w:szCs w:val="24"/>
        </w:rPr>
        <w:t>Por regiones la mayor disminuci</w:t>
      </w:r>
      <w:r w:rsidR="005C56D9" w:rsidRPr="00246E56">
        <w:rPr>
          <w:rFonts w:ascii="Garamond" w:hAnsi="Garamond"/>
          <w:sz w:val="24"/>
          <w:szCs w:val="24"/>
        </w:rPr>
        <w:t xml:space="preserve">ón </w:t>
      </w:r>
      <w:r w:rsidR="004C19F3">
        <w:rPr>
          <w:rFonts w:ascii="Garamond" w:hAnsi="Garamond"/>
          <w:sz w:val="24"/>
          <w:szCs w:val="24"/>
        </w:rPr>
        <w:t xml:space="preserve">dela pobreza se alcanza en Magallanes, en 77,5%; y la menor </w:t>
      </w:r>
      <w:r w:rsidR="00E5550E">
        <w:rPr>
          <w:rFonts w:ascii="Garamond" w:hAnsi="Garamond"/>
          <w:sz w:val="24"/>
          <w:szCs w:val="24"/>
        </w:rPr>
        <w:t>reducción</w:t>
      </w:r>
      <w:r w:rsidR="004C19F3">
        <w:rPr>
          <w:rFonts w:ascii="Garamond" w:hAnsi="Garamond"/>
          <w:sz w:val="24"/>
          <w:szCs w:val="24"/>
        </w:rPr>
        <w:t xml:space="preserve"> en Tarapacá, </w:t>
      </w:r>
      <w:r w:rsidR="00E5550E">
        <w:rPr>
          <w:rFonts w:ascii="Garamond" w:hAnsi="Garamond"/>
          <w:sz w:val="24"/>
          <w:szCs w:val="24"/>
        </w:rPr>
        <w:t xml:space="preserve">en 25,9%. A nivel de </w:t>
      </w:r>
      <w:r w:rsidR="005C56D9" w:rsidRPr="00246E56">
        <w:rPr>
          <w:rFonts w:ascii="Garamond" w:hAnsi="Garamond"/>
          <w:sz w:val="24"/>
          <w:szCs w:val="24"/>
        </w:rPr>
        <w:t xml:space="preserve">indigentes </w:t>
      </w:r>
      <w:r w:rsidR="00E5550E">
        <w:rPr>
          <w:rFonts w:ascii="Garamond" w:hAnsi="Garamond"/>
          <w:sz w:val="24"/>
          <w:szCs w:val="24"/>
        </w:rPr>
        <w:t xml:space="preserve">los principales descensos </w:t>
      </w:r>
      <w:r w:rsidR="005C56D9" w:rsidRPr="00246E56">
        <w:rPr>
          <w:rFonts w:ascii="Garamond" w:hAnsi="Garamond"/>
          <w:sz w:val="24"/>
          <w:szCs w:val="24"/>
        </w:rPr>
        <w:t>se produce</w:t>
      </w:r>
      <w:r w:rsidR="00E5550E">
        <w:rPr>
          <w:rFonts w:ascii="Garamond" w:hAnsi="Garamond"/>
          <w:sz w:val="24"/>
          <w:szCs w:val="24"/>
        </w:rPr>
        <w:t>n</w:t>
      </w:r>
      <w:r w:rsidR="005C56D9" w:rsidRPr="00246E56">
        <w:rPr>
          <w:rFonts w:ascii="Garamond" w:hAnsi="Garamond"/>
          <w:sz w:val="24"/>
          <w:szCs w:val="24"/>
        </w:rPr>
        <w:t xml:space="preserve"> en O’Higgins (85,5%) y Magallanes (83%); y en el caso de pobres no indigentes, en Antofagasta (66%</w:t>
      </w:r>
      <w:r w:rsidR="00180540" w:rsidRPr="00246E56">
        <w:rPr>
          <w:rFonts w:ascii="Garamond" w:hAnsi="Garamond"/>
          <w:sz w:val="24"/>
          <w:szCs w:val="24"/>
        </w:rPr>
        <w:t>)</w:t>
      </w:r>
      <w:r w:rsidR="005C56D9" w:rsidRPr="00246E56">
        <w:rPr>
          <w:rFonts w:ascii="Garamond" w:hAnsi="Garamond"/>
          <w:sz w:val="24"/>
          <w:szCs w:val="24"/>
        </w:rPr>
        <w:t xml:space="preserve"> y Magallanes (75,3%). </w:t>
      </w:r>
    </w:p>
    <w:p w:rsidR="0035058B" w:rsidRDefault="00900034" w:rsidP="000C1827">
      <w:pPr>
        <w:tabs>
          <w:tab w:val="left" w:pos="180"/>
        </w:tabs>
        <w:spacing w:after="240" w:line="288" w:lineRule="auto"/>
        <w:jc w:val="both"/>
        <w:rPr>
          <w:rFonts w:ascii="Garamond" w:hAnsi="Garamond" w:cs="Arial"/>
          <w:sz w:val="24"/>
          <w:szCs w:val="24"/>
        </w:rPr>
      </w:pPr>
      <w:r w:rsidRPr="00246E56">
        <w:rPr>
          <w:rFonts w:ascii="Garamond" w:hAnsi="Garamond"/>
          <w:sz w:val="24"/>
          <w:szCs w:val="24"/>
        </w:rPr>
        <w:t>E</w:t>
      </w:r>
      <w:r w:rsidR="005C56D9" w:rsidRPr="00246E56">
        <w:rPr>
          <w:rFonts w:ascii="Garamond" w:hAnsi="Garamond"/>
          <w:sz w:val="24"/>
          <w:szCs w:val="24"/>
        </w:rPr>
        <w:t>n el caso de las regiones mineras</w:t>
      </w:r>
      <w:r w:rsidR="00246E56">
        <w:rPr>
          <w:rStyle w:val="Refdenotaalpie"/>
          <w:rFonts w:ascii="Garamond" w:hAnsi="Garamond"/>
          <w:sz w:val="24"/>
          <w:szCs w:val="24"/>
        </w:rPr>
        <w:footnoteReference w:id="44"/>
      </w:r>
      <w:r w:rsidR="005C56D9" w:rsidRPr="00246E56">
        <w:rPr>
          <w:rFonts w:ascii="Garamond" w:hAnsi="Garamond"/>
          <w:sz w:val="24"/>
          <w:szCs w:val="24"/>
        </w:rPr>
        <w:t xml:space="preserve">, </w:t>
      </w:r>
      <w:r w:rsidR="00D93485">
        <w:rPr>
          <w:rFonts w:ascii="Garamond" w:hAnsi="Garamond"/>
          <w:sz w:val="24"/>
          <w:szCs w:val="24"/>
        </w:rPr>
        <w:t>la pobreza cae en 18,7 puntos porcentuales (de 36% en 1990 a un 17,9% en 2011), que significa reducir en 51,1% la población pobre. L</w:t>
      </w:r>
      <w:r w:rsidR="00180540" w:rsidRPr="00246E56">
        <w:rPr>
          <w:rFonts w:ascii="Garamond" w:hAnsi="Garamond"/>
          <w:sz w:val="24"/>
          <w:szCs w:val="24"/>
        </w:rPr>
        <w:t>a indigencia cae 73,4% (</w:t>
      </w:r>
      <w:r w:rsidR="00802B22">
        <w:rPr>
          <w:rFonts w:ascii="Garamond" w:hAnsi="Garamond"/>
          <w:sz w:val="24"/>
          <w:szCs w:val="24"/>
        </w:rPr>
        <w:t xml:space="preserve">de </w:t>
      </w:r>
      <w:r w:rsidR="00303BE2">
        <w:rPr>
          <w:rFonts w:ascii="Garamond" w:hAnsi="Garamond"/>
          <w:sz w:val="24"/>
          <w:szCs w:val="24"/>
        </w:rPr>
        <w:t>10,8</w:t>
      </w:r>
      <w:r w:rsidR="00802B22">
        <w:rPr>
          <w:rFonts w:ascii="Garamond" w:hAnsi="Garamond"/>
          <w:sz w:val="24"/>
          <w:szCs w:val="24"/>
        </w:rPr>
        <w:t xml:space="preserve">% a </w:t>
      </w:r>
      <w:r w:rsidR="00303BE2">
        <w:rPr>
          <w:rFonts w:ascii="Garamond" w:hAnsi="Garamond"/>
          <w:sz w:val="24"/>
          <w:szCs w:val="24"/>
        </w:rPr>
        <w:t>2,0</w:t>
      </w:r>
      <w:r w:rsidR="00802B22">
        <w:rPr>
          <w:rFonts w:ascii="Garamond" w:hAnsi="Garamond"/>
          <w:sz w:val="24"/>
          <w:szCs w:val="24"/>
        </w:rPr>
        <w:t>%</w:t>
      </w:r>
      <w:r w:rsidR="00303BE2">
        <w:rPr>
          <w:rFonts w:ascii="Garamond" w:hAnsi="Garamond"/>
          <w:sz w:val="24"/>
          <w:szCs w:val="24"/>
        </w:rPr>
        <w:t xml:space="preserve">, que corresponde 1,4 </w:t>
      </w:r>
      <w:r w:rsidR="00180540" w:rsidRPr="00246E56">
        <w:rPr>
          <w:rFonts w:ascii="Garamond" w:hAnsi="Garamond"/>
          <w:sz w:val="24"/>
          <w:szCs w:val="24"/>
        </w:rPr>
        <w:t xml:space="preserve">puntos porcentuales </w:t>
      </w:r>
      <w:r w:rsidR="00303BE2">
        <w:rPr>
          <w:rFonts w:ascii="Garamond" w:hAnsi="Garamond"/>
          <w:sz w:val="24"/>
          <w:szCs w:val="24"/>
        </w:rPr>
        <w:t>de mayor reducción q</w:t>
      </w:r>
      <w:r w:rsidR="00180540" w:rsidRPr="00246E56">
        <w:rPr>
          <w:rFonts w:ascii="Garamond" w:hAnsi="Garamond"/>
          <w:sz w:val="24"/>
          <w:szCs w:val="24"/>
        </w:rPr>
        <w:t>ue el país)</w:t>
      </w:r>
      <w:r w:rsidR="00303BE2">
        <w:rPr>
          <w:rFonts w:ascii="Garamond" w:hAnsi="Garamond"/>
          <w:sz w:val="24"/>
          <w:szCs w:val="24"/>
        </w:rPr>
        <w:t xml:space="preserve">; y por </w:t>
      </w:r>
      <w:r w:rsidRPr="00246E56">
        <w:rPr>
          <w:rFonts w:ascii="Garamond" w:hAnsi="Garamond"/>
          <w:sz w:val="24"/>
          <w:szCs w:val="24"/>
        </w:rPr>
        <w:t xml:space="preserve">género, </w:t>
      </w:r>
      <w:r w:rsidR="00303BE2">
        <w:rPr>
          <w:rFonts w:ascii="Garamond" w:hAnsi="Garamond"/>
          <w:sz w:val="24"/>
          <w:szCs w:val="24"/>
        </w:rPr>
        <w:t xml:space="preserve">se reduce en </w:t>
      </w:r>
      <w:r w:rsidRPr="00246E56">
        <w:rPr>
          <w:rFonts w:ascii="Garamond" w:hAnsi="Garamond"/>
          <w:sz w:val="24"/>
          <w:szCs w:val="24"/>
        </w:rPr>
        <w:t>75,3% en los hombres y 71,8% en las mujeres</w:t>
      </w:r>
      <w:r w:rsidR="00802B22">
        <w:rPr>
          <w:rFonts w:ascii="Garamond" w:hAnsi="Garamond"/>
          <w:sz w:val="24"/>
          <w:szCs w:val="24"/>
        </w:rPr>
        <w:t xml:space="preserve"> (</w:t>
      </w:r>
      <w:r w:rsidR="00303BE2">
        <w:rPr>
          <w:rFonts w:ascii="Garamond" w:hAnsi="Garamond"/>
          <w:sz w:val="24"/>
          <w:szCs w:val="24"/>
        </w:rPr>
        <w:t>desde 5,1% a 0,9% y 5,7% a 1,1%, respectivamente</w:t>
      </w:r>
      <w:r w:rsidR="00802B22">
        <w:rPr>
          <w:rFonts w:ascii="Garamond" w:hAnsi="Garamond"/>
          <w:sz w:val="24"/>
          <w:szCs w:val="24"/>
        </w:rPr>
        <w:t>)</w:t>
      </w:r>
      <w:r w:rsidR="00303BE2">
        <w:rPr>
          <w:rFonts w:ascii="Garamond" w:hAnsi="Garamond"/>
          <w:sz w:val="24"/>
          <w:szCs w:val="24"/>
        </w:rPr>
        <w:t>. L</w:t>
      </w:r>
      <w:r w:rsidR="00D93485">
        <w:rPr>
          <w:rFonts w:ascii="Garamond" w:hAnsi="Garamond"/>
          <w:sz w:val="24"/>
          <w:szCs w:val="24"/>
        </w:rPr>
        <w:t xml:space="preserve">os </w:t>
      </w:r>
      <w:r w:rsidR="00180540" w:rsidRPr="00246E56">
        <w:rPr>
          <w:rFonts w:ascii="Garamond" w:hAnsi="Garamond"/>
          <w:sz w:val="24"/>
          <w:szCs w:val="24"/>
        </w:rPr>
        <w:t>pobre</w:t>
      </w:r>
      <w:r w:rsidR="00D93485">
        <w:rPr>
          <w:rFonts w:ascii="Garamond" w:hAnsi="Garamond"/>
          <w:sz w:val="24"/>
          <w:szCs w:val="24"/>
        </w:rPr>
        <w:t>s no indigentes</w:t>
      </w:r>
      <w:r w:rsidRPr="00246E56">
        <w:rPr>
          <w:rFonts w:ascii="Garamond" w:hAnsi="Garamond"/>
          <w:sz w:val="24"/>
          <w:szCs w:val="24"/>
        </w:rPr>
        <w:t>desciende</w:t>
      </w:r>
      <w:r w:rsidR="00D93485">
        <w:rPr>
          <w:rFonts w:ascii="Garamond" w:hAnsi="Garamond"/>
          <w:sz w:val="24"/>
          <w:szCs w:val="24"/>
        </w:rPr>
        <w:t>n</w:t>
      </w:r>
      <w:r w:rsidR="00180540" w:rsidRPr="00246E56">
        <w:rPr>
          <w:rFonts w:ascii="Garamond" w:hAnsi="Garamond"/>
          <w:sz w:val="24"/>
          <w:szCs w:val="24"/>
        </w:rPr>
        <w:t>en 41,7% (</w:t>
      </w:r>
      <w:r w:rsidR="00303BE2">
        <w:rPr>
          <w:rFonts w:ascii="Garamond" w:hAnsi="Garamond"/>
          <w:sz w:val="24"/>
          <w:szCs w:val="24"/>
        </w:rPr>
        <w:t>de 25,8% a 10,8%, que significa 1 pp</w:t>
      </w:r>
      <w:r w:rsidR="004C5EB3">
        <w:rPr>
          <w:rFonts w:ascii="Garamond" w:hAnsi="Garamond"/>
          <w:sz w:val="24"/>
          <w:szCs w:val="24"/>
        </w:rPr>
        <w:t>de mayor reducción que a nivel nacional</w:t>
      </w:r>
      <w:r w:rsidR="00180540" w:rsidRPr="00246E56">
        <w:rPr>
          <w:rFonts w:ascii="Garamond" w:hAnsi="Garamond"/>
          <w:sz w:val="24"/>
          <w:szCs w:val="24"/>
        </w:rPr>
        <w:t>)</w:t>
      </w:r>
      <w:r w:rsidR="004C5EB3">
        <w:rPr>
          <w:rFonts w:ascii="Garamond" w:hAnsi="Garamond"/>
          <w:sz w:val="24"/>
          <w:szCs w:val="24"/>
        </w:rPr>
        <w:t xml:space="preserve">; y las variaciones, son de </w:t>
      </w:r>
      <w:r w:rsidRPr="00246E56">
        <w:rPr>
          <w:rFonts w:ascii="Garamond" w:hAnsi="Garamond"/>
          <w:sz w:val="24"/>
          <w:szCs w:val="24"/>
        </w:rPr>
        <w:t>46,8% en los hombres y 36</w:t>
      </w:r>
      <w:r>
        <w:rPr>
          <w:rFonts w:ascii="Garamond" w:hAnsi="Garamond" w:cs="Arial"/>
          <w:sz w:val="24"/>
          <w:szCs w:val="24"/>
        </w:rPr>
        <w:t>,9% en las mujeres</w:t>
      </w:r>
      <w:r w:rsidR="00180540">
        <w:rPr>
          <w:rFonts w:ascii="Garamond" w:hAnsi="Garamond" w:cs="Arial"/>
          <w:sz w:val="24"/>
          <w:szCs w:val="24"/>
        </w:rPr>
        <w:t xml:space="preserve">. Por rangos de edad y género, </w:t>
      </w:r>
      <w:r>
        <w:rPr>
          <w:rFonts w:ascii="Garamond" w:hAnsi="Garamond" w:cs="Arial"/>
          <w:sz w:val="24"/>
          <w:szCs w:val="24"/>
        </w:rPr>
        <w:t xml:space="preserve">para estas 4 regiones </w:t>
      </w:r>
      <w:r w:rsidR="00180540">
        <w:rPr>
          <w:rFonts w:ascii="Garamond" w:hAnsi="Garamond" w:cs="Arial"/>
          <w:sz w:val="24"/>
          <w:szCs w:val="24"/>
        </w:rPr>
        <w:t xml:space="preserve">las mayores caídas </w:t>
      </w:r>
      <w:r>
        <w:rPr>
          <w:rFonts w:ascii="Garamond" w:hAnsi="Garamond" w:cs="Arial"/>
          <w:sz w:val="24"/>
          <w:szCs w:val="24"/>
        </w:rPr>
        <w:t xml:space="preserve">en la indigencia </w:t>
      </w:r>
      <w:r w:rsidR="00180540">
        <w:rPr>
          <w:rFonts w:ascii="Garamond" w:hAnsi="Garamond" w:cs="Arial"/>
          <w:sz w:val="24"/>
          <w:szCs w:val="24"/>
        </w:rPr>
        <w:t xml:space="preserve">se alcanzan en los hombres de </w:t>
      </w:r>
      <w:r>
        <w:rPr>
          <w:rFonts w:ascii="Garamond" w:hAnsi="Garamond" w:cs="Arial"/>
          <w:sz w:val="24"/>
          <w:szCs w:val="24"/>
        </w:rPr>
        <w:t>30 a 44 años (87,6%)</w:t>
      </w:r>
      <w:r w:rsidR="00246E56">
        <w:rPr>
          <w:rFonts w:ascii="Garamond" w:hAnsi="Garamond" w:cs="Arial"/>
          <w:sz w:val="24"/>
          <w:szCs w:val="24"/>
        </w:rPr>
        <w:t>, seguido de 0 a 14 años (78,1%);</w:t>
      </w:r>
      <w:r>
        <w:rPr>
          <w:rFonts w:ascii="Garamond" w:hAnsi="Garamond" w:cs="Arial"/>
          <w:sz w:val="24"/>
          <w:szCs w:val="24"/>
        </w:rPr>
        <w:t xml:space="preserve"> y en las mujeres de 0 a 14 años (79,4%)</w:t>
      </w:r>
      <w:r w:rsidR="00246E56">
        <w:rPr>
          <w:rFonts w:ascii="Garamond" w:hAnsi="Garamond" w:cs="Arial"/>
          <w:sz w:val="24"/>
          <w:szCs w:val="24"/>
        </w:rPr>
        <w:t>, y 15 a 29 años (71,5%</w:t>
      </w:r>
      <w:r>
        <w:rPr>
          <w:rFonts w:ascii="Garamond" w:hAnsi="Garamond" w:cs="Arial"/>
          <w:sz w:val="24"/>
          <w:szCs w:val="24"/>
        </w:rPr>
        <w:t xml:space="preserve">. Para la pobreza, cae en mayor proporción </w:t>
      </w:r>
      <w:r w:rsidR="00246E56">
        <w:rPr>
          <w:rFonts w:ascii="Garamond" w:hAnsi="Garamond" w:cs="Arial"/>
          <w:sz w:val="24"/>
          <w:szCs w:val="24"/>
        </w:rPr>
        <w:t>en los hombres de 30 a 44 años (58,9%) y 15 a 29 años (52,2%); y en las mujeres, entre 15 y 29 años (46,1%) y 0 a 14 años (45%).</w:t>
      </w:r>
    </w:p>
    <w:p w:rsidR="00C27186" w:rsidRDefault="004A2BB6" w:rsidP="000C1827">
      <w:pPr>
        <w:tabs>
          <w:tab w:val="left" w:pos="180"/>
        </w:tabs>
        <w:spacing w:after="240" w:line="288" w:lineRule="auto"/>
        <w:jc w:val="both"/>
        <w:rPr>
          <w:rFonts w:ascii="Garamond" w:hAnsi="Garamond" w:cs="Arial"/>
          <w:sz w:val="24"/>
          <w:szCs w:val="24"/>
        </w:rPr>
      </w:pPr>
      <w:r>
        <w:rPr>
          <w:rFonts w:ascii="Garamond" w:hAnsi="Garamond" w:cs="Arial"/>
          <w:sz w:val="24"/>
          <w:szCs w:val="24"/>
        </w:rPr>
        <w:t xml:space="preserve">Con respecto al </w:t>
      </w:r>
      <w:r w:rsidR="00FA5CFE" w:rsidRPr="00E94EFF">
        <w:rPr>
          <w:rFonts w:ascii="Garamond" w:hAnsi="Garamond" w:cs="Arial"/>
          <w:sz w:val="24"/>
          <w:szCs w:val="24"/>
        </w:rPr>
        <w:t xml:space="preserve">porcentajede </w:t>
      </w:r>
      <w:r w:rsidR="00A85A9C">
        <w:rPr>
          <w:rFonts w:ascii="Garamond" w:hAnsi="Garamond" w:cs="Arial"/>
          <w:sz w:val="24"/>
          <w:szCs w:val="24"/>
        </w:rPr>
        <w:t>i</w:t>
      </w:r>
      <w:r w:rsidR="00FA5CFE" w:rsidRPr="00E94EFF">
        <w:rPr>
          <w:rFonts w:ascii="Garamond" w:hAnsi="Garamond" w:cs="Arial"/>
          <w:sz w:val="24"/>
          <w:szCs w:val="24"/>
        </w:rPr>
        <w:t xml:space="preserve">ndigencia </w:t>
      </w:r>
      <w:r w:rsidR="00FA5CFE">
        <w:rPr>
          <w:rFonts w:ascii="Garamond" w:hAnsi="Garamond" w:cs="Arial"/>
          <w:sz w:val="24"/>
          <w:szCs w:val="24"/>
        </w:rPr>
        <w:t>en el país</w:t>
      </w:r>
      <w:r>
        <w:rPr>
          <w:rFonts w:ascii="Garamond" w:hAnsi="Garamond" w:cs="Arial"/>
          <w:sz w:val="24"/>
          <w:szCs w:val="24"/>
        </w:rPr>
        <w:t>,</w:t>
      </w:r>
      <w:r w:rsidR="00FA5CFE">
        <w:rPr>
          <w:rFonts w:ascii="Garamond" w:hAnsi="Garamond" w:cs="Arial"/>
          <w:sz w:val="24"/>
          <w:szCs w:val="24"/>
        </w:rPr>
        <w:t xml:space="preserve"> es de 2,8%, y éste </w:t>
      </w:r>
      <w:r w:rsidR="00FA5CFE" w:rsidRPr="00E94EFF">
        <w:rPr>
          <w:rFonts w:ascii="Garamond" w:hAnsi="Garamond" w:cs="Arial"/>
          <w:sz w:val="24"/>
          <w:szCs w:val="24"/>
        </w:rPr>
        <w:t xml:space="preserve">fluctúa entre el </w:t>
      </w:r>
      <w:r w:rsidR="00FA5CFE">
        <w:rPr>
          <w:rFonts w:ascii="Garamond" w:hAnsi="Garamond" w:cs="Arial"/>
          <w:sz w:val="24"/>
          <w:szCs w:val="24"/>
        </w:rPr>
        <w:t>1,27</w:t>
      </w:r>
      <w:r w:rsidR="00FA5CFE" w:rsidRPr="00E94EFF">
        <w:rPr>
          <w:rFonts w:ascii="Garamond" w:hAnsi="Garamond" w:cs="Arial"/>
          <w:sz w:val="24"/>
          <w:szCs w:val="24"/>
        </w:rPr>
        <w:t xml:space="preserve">% </w:t>
      </w:r>
      <w:r w:rsidR="00FA5CFE">
        <w:rPr>
          <w:rFonts w:ascii="Garamond" w:hAnsi="Garamond" w:cs="Arial"/>
          <w:sz w:val="24"/>
          <w:szCs w:val="24"/>
        </w:rPr>
        <w:t xml:space="preserve">en Magallanes, 1,55% en Aysén y 1,57% en </w:t>
      </w:r>
      <w:r w:rsidR="00FA5CFE" w:rsidRPr="00E94EFF">
        <w:rPr>
          <w:rFonts w:ascii="Garamond" w:hAnsi="Garamond" w:cs="Arial"/>
          <w:sz w:val="24"/>
          <w:szCs w:val="24"/>
        </w:rPr>
        <w:t>Antofagasta</w:t>
      </w:r>
      <w:r w:rsidR="00FA5CFE">
        <w:rPr>
          <w:rFonts w:ascii="Garamond" w:hAnsi="Garamond" w:cs="Arial"/>
          <w:sz w:val="24"/>
          <w:szCs w:val="24"/>
        </w:rPr>
        <w:t>, a 5,3% en La Araucanía y 4,5% en Biobío.</w:t>
      </w:r>
      <w:r w:rsidR="00FA5CFE" w:rsidRPr="00E94EFF">
        <w:rPr>
          <w:rFonts w:ascii="Garamond" w:hAnsi="Garamond" w:cs="Arial"/>
          <w:sz w:val="24"/>
          <w:szCs w:val="24"/>
        </w:rPr>
        <w:t xml:space="preserve">  Si se incluye </w:t>
      </w:r>
      <w:r w:rsidR="004C5EB3">
        <w:rPr>
          <w:rFonts w:ascii="Garamond" w:hAnsi="Garamond" w:cs="Arial"/>
          <w:sz w:val="24"/>
          <w:szCs w:val="24"/>
        </w:rPr>
        <w:t>toda la pobreza (indigentes y pobres no indigentes)</w:t>
      </w:r>
      <w:r w:rsidR="00FA5CFE" w:rsidRPr="00E94EFF">
        <w:rPr>
          <w:rFonts w:ascii="Garamond" w:hAnsi="Garamond" w:cs="Arial"/>
          <w:sz w:val="24"/>
          <w:szCs w:val="24"/>
        </w:rPr>
        <w:t xml:space="preserve">, </w:t>
      </w:r>
      <w:r w:rsidR="00C27186">
        <w:rPr>
          <w:rFonts w:ascii="Garamond" w:hAnsi="Garamond" w:cs="Arial"/>
          <w:sz w:val="24"/>
          <w:szCs w:val="24"/>
        </w:rPr>
        <w:t xml:space="preserve">en el país alcanza 11,7%, distribuido por regiones entre 4,6% en Magallanes y 5,9% en Antofagasta, a 17,7% en La Araucanía y 16,9% en Biobío. </w:t>
      </w:r>
      <w:r w:rsidR="004C5EB3">
        <w:rPr>
          <w:rFonts w:ascii="Garamond" w:hAnsi="Garamond" w:cs="Arial"/>
          <w:sz w:val="24"/>
          <w:szCs w:val="24"/>
        </w:rPr>
        <w:t>Para las regiones mineras, la indigencia alcanza a 2% (0,8 pp menos que el país); y la pobreza a 10,8% (0,9 pp menos que el país)</w:t>
      </w:r>
    </w:p>
    <w:p w:rsidR="00B26709" w:rsidRPr="00F0304B" w:rsidRDefault="00B26709" w:rsidP="000C1827">
      <w:pPr>
        <w:tabs>
          <w:tab w:val="left" w:pos="180"/>
        </w:tabs>
        <w:spacing w:after="240" w:line="288" w:lineRule="auto"/>
        <w:jc w:val="both"/>
        <w:rPr>
          <w:rFonts w:ascii="Garamond" w:hAnsi="Garamond" w:cs="Arial"/>
          <w:sz w:val="24"/>
          <w:szCs w:val="24"/>
        </w:rPr>
      </w:pPr>
      <w:r>
        <w:rPr>
          <w:rFonts w:ascii="Garamond" w:hAnsi="Garamond" w:cs="Arial"/>
          <w:sz w:val="24"/>
          <w:szCs w:val="24"/>
        </w:rPr>
        <w:t xml:space="preserve">De </w:t>
      </w:r>
      <w:r w:rsidRPr="00F0304B">
        <w:rPr>
          <w:rFonts w:ascii="Garamond" w:hAnsi="Garamond" w:cs="Arial"/>
          <w:sz w:val="24"/>
          <w:szCs w:val="24"/>
        </w:rPr>
        <w:t xml:space="preserve">acuerdo a las mediciones del ingreso </w:t>
      </w:r>
      <w:r w:rsidR="00E64C7F" w:rsidRPr="00F0304B">
        <w:rPr>
          <w:rFonts w:ascii="Garamond" w:hAnsi="Garamond" w:cs="Arial"/>
          <w:sz w:val="24"/>
          <w:szCs w:val="24"/>
        </w:rPr>
        <w:t xml:space="preserve">autónomo </w:t>
      </w:r>
      <w:r w:rsidRPr="00F0304B">
        <w:rPr>
          <w:rFonts w:ascii="Garamond" w:hAnsi="Garamond" w:cs="Arial"/>
          <w:sz w:val="24"/>
          <w:szCs w:val="24"/>
        </w:rPr>
        <w:t xml:space="preserve">de los hogares, estos crecen un 44% en términos reales entre 1990 y 2011. Por quintil de ingreso </w:t>
      </w:r>
      <w:r w:rsidR="006D6E5B" w:rsidRPr="00F0304B">
        <w:rPr>
          <w:rFonts w:ascii="Garamond" w:hAnsi="Garamond" w:cs="Arial"/>
          <w:sz w:val="24"/>
          <w:szCs w:val="24"/>
        </w:rPr>
        <w:t xml:space="preserve">suben </w:t>
      </w:r>
      <w:r w:rsidR="00E64C7F" w:rsidRPr="00F0304B">
        <w:rPr>
          <w:rFonts w:ascii="Garamond" w:hAnsi="Garamond" w:cs="Arial"/>
          <w:sz w:val="24"/>
          <w:szCs w:val="24"/>
        </w:rPr>
        <w:t xml:space="preserve">entre 62% para el Quintil II y 34% para el Quintil V. Por regiones </w:t>
      </w:r>
      <w:r w:rsidRPr="00F0304B">
        <w:rPr>
          <w:rFonts w:ascii="Garamond" w:hAnsi="Garamond" w:cs="Arial"/>
          <w:sz w:val="24"/>
          <w:szCs w:val="24"/>
        </w:rPr>
        <w:t xml:space="preserve">las </w:t>
      </w:r>
      <w:r w:rsidR="00E64C7F" w:rsidRPr="00F0304B">
        <w:rPr>
          <w:rFonts w:ascii="Garamond" w:hAnsi="Garamond" w:cs="Arial"/>
          <w:sz w:val="24"/>
          <w:szCs w:val="24"/>
        </w:rPr>
        <w:t xml:space="preserve">mayores variaciones </w:t>
      </w:r>
      <w:r w:rsidR="00761267" w:rsidRPr="00F0304B">
        <w:rPr>
          <w:rFonts w:ascii="Garamond" w:hAnsi="Garamond" w:cs="Arial"/>
          <w:sz w:val="24"/>
          <w:szCs w:val="24"/>
        </w:rPr>
        <w:t>se obtienen en la región de Antofagasta, para los tres primeros quintiles, de 97%, 106% y 104% respectivamente; y para la región de Aysén, los quintiles 4 y 5, en 110% y 89%. Y las mayores disminuciones, en La Araucanía, en los quintiles 1</w:t>
      </w:r>
      <w:r w:rsidR="007F5839" w:rsidRPr="00F0304B">
        <w:rPr>
          <w:rFonts w:ascii="Garamond" w:hAnsi="Garamond" w:cs="Arial"/>
          <w:sz w:val="24"/>
          <w:szCs w:val="24"/>
        </w:rPr>
        <w:t>,</w:t>
      </w:r>
      <w:r w:rsidR="00761267" w:rsidRPr="00F0304B">
        <w:rPr>
          <w:rFonts w:ascii="Garamond" w:hAnsi="Garamond" w:cs="Arial"/>
          <w:sz w:val="24"/>
          <w:szCs w:val="24"/>
        </w:rPr>
        <w:t xml:space="preserve"> 2</w:t>
      </w:r>
      <w:r w:rsidR="007F5839" w:rsidRPr="00F0304B">
        <w:rPr>
          <w:rFonts w:ascii="Garamond" w:hAnsi="Garamond" w:cs="Arial"/>
          <w:sz w:val="24"/>
          <w:szCs w:val="24"/>
        </w:rPr>
        <w:t xml:space="preserve"> y 4</w:t>
      </w:r>
      <w:r w:rsidR="00761267" w:rsidRPr="00F0304B">
        <w:rPr>
          <w:rFonts w:ascii="Garamond" w:hAnsi="Garamond" w:cs="Arial"/>
          <w:sz w:val="24"/>
          <w:szCs w:val="24"/>
        </w:rPr>
        <w:t>, de -10%</w:t>
      </w:r>
      <w:r w:rsidR="007F5839" w:rsidRPr="00F0304B">
        <w:rPr>
          <w:rFonts w:ascii="Garamond" w:hAnsi="Garamond" w:cs="Arial"/>
          <w:sz w:val="24"/>
          <w:szCs w:val="24"/>
        </w:rPr>
        <w:t>,</w:t>
      </w:r>
      <w:r w:rsidR="00761267" w:rsidRPr="00F0304B">
        <w:rPr>
          <w:rFonts w:ascii="Garamond" w:hAnsi="Garamond" w:cs="Arial"/>
          <w:sz w:val="24"/>
          <w:szCs w:val="24"/>
        </w:rPr>
        <w:t xml:space="preserve"> 33%</w:t>
      </w:r>
      <w:r w:rsidR="007F5839" w:rsidRPr="00F0304B">
        <w:rPr>
          <w:rFonts w:ascii="Garamond" w:hAnsi="Garamond" w:cs="Arial"/>
          <w:sz w:val="24"/>
          <w:szCs w:val="24"/>
        </w:rPr>
        <w:t xml:space="preserve"> y 30%</w:t>
      </w:r>
      <w:r w:rsidR="00761267" w:rsidRPr="00F0304B">
        <w:rPr>
          <w:rFonts w:ascii="Garamond" w:hAnsi="Garamond" w:cs="Arial"/>
          <w:sz w:val="24"/>
          <w:szCs w:val="24"/>
        </w:rPr>
        <w:t>, en ese orden; Los Lagos</w:t>
      </w:r>
      <w:r w:rsidR="007F5839" w:rsidRPr="00F0304B">
        <w:rPr>
          <w:rFonts w:ascii="Garamond" w:hAnsi="Garamond" w:cs="Arial"/>
          <w:sz w:val="24"/>
          <w:szCs w:val="24"/>
        </w:rPr>
        <w:t>, en el Quintil III, 37%, y Tarapacá, en el Quintil V, -6%</w:t>
      </w:r>
      <w:r w:rsidR="00761267" w:rsidRPr="00F0304B">
        <w:rPr>
          <w:rFonts w:ascii="Garamond" w:hAnsi="Garamond" w:cs="Arial"/>
          <w:sz w:val="24"/>
          <w:szCs w:val="24"/>
        </w:rPr>
        <w:t>.</w:t>
      </w:r>
    </w:p>
    <w:p w:rsidR="00D1697E" w:rsidRPr="00F0304B" w:rsidRDefault="00A47768" w:rsidP="000C1827">
      <w:pPr>
        <w:tabs>
          <w:tab w:val="left" w:pos="180"/>
        </w:tabs>
        <w:spacing w:after="240" w:line="288" w:lineRule="auto"/>
        <w:jc w:val="both"/>
        <w:rPr>
          <w:rFonts w:ascii="Garamond" w:hAnsi="Garamond" w:cs="Arial"/>
          <w:sz w:val="24"/>
          <w:szCs w:val="24"/>
        </w:rPr>
      </w:pPr>
      <w:r w:rsidRPr="00F0304B">
        <w:rPr>
          <w:rFonts w:ascii="Garamond" w:hAnsi="Garamond" w:cs="Arial"/>
          <w:sz w:val="24"/>
          <w:szCs w:val="24"/>
        </w:rPr>
        <w:t xml:space="preserve">Los </w:t>
      </w:r>
      <w:r w:rsidR="00365017" w:rsidRPr="00F0304B">
        <w:rPr>
          <w:rFonts w:ascii="Garamond" w:hAnsi="Garamond" w:cs="Arial"/>
          <w:sz w:val="24"/>
          <w:szCs w:val="24"/>
        </w:rPr>
        <w:t xml:space="preserve">subsidios monetarios </w:t>
      </w:r>
      <w:r w:rsidR="00344B66" w:rsidRPr="00F0304B">
        <w:rPr>
          <w:rFonts w:ascii="Garamond" w:hAnsi="Garamond" w:cs="Arial"/>
          <w:sz w:val="24"/>
          <w:szCs w:val="24"/>
        </w:rPr>
        <w:t xml:space="preserve">es una de las herramientas </w:t>
      </w:r>
      <w:r w:rsidR="004D607F" w:rsidRPr="00F0304B">
        <w:rPr>
          <w:rFonts w:ascii="Garamond" w:hAnsi="Garamond" w:cs="Arial"/>
          <w:sz w:val="24"/>
          <w:szCs w:val="24"/>
        </w:rPr>
        <w:t xml:space="preserve">de la política social </w:t>
      </w:r>
      <w:r w:rsidR="00344B66" w:rsidRPr="00F0304B">
        <w:rPr>
          <w:rFonts w:ascii="Garamond" w:hAnsi="Garamond" w:cs="Arial"/>
          <w:sz w:val="24"/>
          <w:szCs w:val="24"/>
        </w:rPr>
        <w:t xml:space="preserve">para </w:t>
      </w:r>
      <w:r w:rsidR="00173D05" w:rsidRPr="00F0304B">
        <w:rPr>
          <w:rFonts w:ascii="Garamond" w:hAnsi="Garamond" w:cs="Arial"/>
          <w:sz w:val="24"/>
          <w:szCs w:val="24"/>
        </w:rPr>
        <w:t xml:space="preserve">elevar el ingreso </w:t>
      </w:r>
      <w:r w:rsidR="00344B66" w:rsidRPr="00F0304B">
        <w:rPr>
          <w:rFonts w:ascii="Garamond" w:hAnsi="Garamond" w:cs="Arial"/>
          <w:sz w:val="24"/>
          <w:szCs w:val="24"/>
        </w:rPr>
        <w:t xml:space="preserve">familiar </w:t>
      </w:r>
      <w:r w:rsidR="00173D05" w:rsidRPr="00F0304B">
        <w:rPr>
          <w:rFonts w:ascii="Garamond" w:hAnsi="Garamond" w:cs="Arial"/>
          <w:sz w:val="24"/>
          <w:szCs w:val="24"/>
        </w:rPr>
        <w:t>de los más pobres</w:t>
      </w:r>
      <w:r w:rsidR="00344B66" w:rsidRPr="00F0304B">
        <w:rPr>
          <w:rFonts w:ascii="Garamond" w:hAnsi="Garamond" w:cs="Arial"/>
          <w:sz w:val="24"/>
          <w:szCs w:val="24"/>
        </w:rPr>
        <w:t>. Durante el 2011 ellos constituyeron 18,1% del total del ingreso monetario del Quintil I, y el 5,3% para el Quintil II de ingreso</w:t>
      </w:r>
      <w:r w:rsidR="004D607F" w:rsidRPr="00F0304B">
        <w:rPr>
          <w:rFonts w:ascii="Garamond" w:hAnsi="Garamond" w:cs="Arial"/>
          <w:sz w:val="24"/>
          <w:szCs w:val="24"/>
        </w:rPr>
        <w:t xml:space="preserve">; y aumentan 361% y 245%, respectivamente, entre 1990 y 2011. Por regiones, el mayor aporte al ingreso monetario de las familias del Quintil I </w:t>
      </w:r>
      <w:r w:rsidR="00B64C3D" w:rsidRPr="00F0304B">
        <w:rPr>
          <w:rFonts w:ascii="Garamond" w:hAnsi="Garamond" w:cs="Arial"/>
          <w:sz w:val="24"/>
          <w:szCs w:val="24"/>
        </w:rPr>
        <w:t>es de 44,6%, en la región de</w:t>
      </w:r>
      <w:r w:rsidR="004D607F" w:rsidRPr="00F0304B">
        <w:rPr>
          <w:rFonts w:ascii="Garamond" w:hAnsi="Garamond" w:cs="Arial"/>
          <w:sz w:val="24"/>
          <w:szCs w:val="24"/>
        </w:rPr>
        <w:t xml:space="preserve"> La Araucanía, </w:t>
      </w:r>
      <w:r w:rsidR="00B64C3D" w:rsidRPr="00F0304B">
        <w:rPr>
          <w:rFonts w:ascii="Garamond" w:hAnsi="Garamond" w:cs="Arial"/>
          <w:sz w:val="24"/>
          <w:szCs w:val="24"/>
        </w:rPr>
        <w:t xml:space="preserve">seguido de Los Lagos, con un 36,3%; y el menor porcentaje de subsidio se alcanza en Antofagasta, con el 9,7% del ingreso. </w:t>
      </w:r>
      <w:r w:rsidR="00B51C2F" w:rsidRPr="00F0304B">
        <w:rPr>
          <w:rFonts w:ascii="Garamond" w:hAnsi="Garamond" w:cs="Arial"/>
          <w:sz w:val="24"/>
          <w:szCs w:val="24"/>
        </w:rPr>
        <w:t xml:space="preserve">Para las regiones mineras, </w:t>
      </w:r>
      <w:r w:rsidR="00121FF1" w:rsidRPr="00F0304B">
        <w:rPr>
          <w:rFonts w:ascii="Garamond" w:hAnsi="Garamond" w:cs="Arial"/>
          <w:sz w:val="24"/>
          <w:szCs w:val="24"/>
        </w:rPr>
        <w:t>los subsidios monetarios son el 14% del ingreso monetario del Quintil I (4,1 puntos porcentuales por debajo del promedio pa</w:t>
      </w:r>
      <w:r w:rsidR="00F0304B">
        <w:rPr>
          <w:rFonts w:ascii="Garamond" w:hAnsi="Garamond" w:cs="Arial"/>
          <w:sz w:val="24"/>
          <w:szCs w:val="24"/>
        </w:rPr>
        <w:t>ís).</w:t>
      </w:r>
      <w:r w:rsidR="007C11EB">
        <w:rPr>
          <w:rFonts w:ascii="Garamond" w:hAnsi="Garamond" w:cs="Arial"/>
          <w:sz w:val="24"/>
          <w:szCs w:val="24"/>
        </w:rPr>
        <w:t xml:space="preserve"> Estas diferenciasdemostrarían una situación relativamente más favorable de la población en las regiones mineras, porque requieren de un menor monto de subsidio para reparar la</w:t>
      </w:r>
      <w:r w:rsidR="00137B55">
        <w:rPr>
          <w:rFonts w:ascii="Garamond" w:hAnsi="Garamond" w:cs="Arial"/>
          <w:sz w:val="24"/>
          <w:szCs w:val="24"/>
        </w:rPr>
        <w:t>s</w:t>
      </w:r>
      <w:r w:rsidR="007C11EB">
        <w:rPr>
          <w:rFonts w:ascii="Garamond" w:hAnsi="Garamond" w:cs="Arial"/>
          <w:sz w:val="24"/>
          <w:szCs w:val="24"/>
        </w:rPr>
        <w:t xml:space="preserve"> situaciones de </w:t>
      </w:r>
      <w:r w:rsidR="00137B55">
        <w:rPr>
          <w:rFonts w:ascii="Garamond" w:hAnsi="Garamond" w:cs="Arial"/>
          <w:sz w:val="24"/>
          <w:szCs w:val="24"/>
        </w:rPr>
        <w:t xml:space="preserve">precariedad </w:t>
      </w:r>
      <w:r w:rsidR="007C11EB">
        <w:rPr>
          <w:rFonts w:ascii="Garamond" w:hAnsi="Garamond" w:cs="Arial"/>
          <w:sz w:val="24"/>
          <w:szCs w:val="24"/>
        </w:rPr>
        <w:t>de las personas de menores ingresos.</w:t>
      </w:r>
    </w:p>
    <w:p w:rsidR="00D1697E" w:rsidRPr="00854BFE" w:rsidRDefault="00232EF4" w:rsidP="000C1827">
      <w:pPr>
        <w:pStyle w:val="NormalWeb"/>
        <w:tabs>
          <w:tab w:val="left" w:pos="567"/>
        </w:tabs>
        <w:spacing w:before="0" w:beforeAutospacing="0" w:after="240" w:afterAutospacing="0" w:line="288" w:lineRule="auto"/>
        <w:jc w:val="both"/>
        <w:rPr>
          <w:rFonts w:ascii="Garamond" w:hAnsi="Garamond" w:cs="Arial"/>
        </w:rPr>
      </w:pPr>
      <w:r>
        <w:rPr>
          <w:rFonts w:ascii="Garamond" w:hAnsi="Garamond" w:cs="Arial"/>
        </w:rPr>
        <w:t xml:space="preserve">Un conjunto de 6 </w:t>
      </w:r>
      <w:r w:rsidR="00854BFE" w:rsidRPr="00854BFE">
        <w:rPr>
          <w:rFonts w:ascii="Garamond" w:hAnsi="Garamond" w:cs="Arial"/>
        </w:rPr>
        <w:t>subsidios</w:t>
      </w:r>
      <w:r>
        <w:rPr>
          <w:rStyle w:val="Refdenotaalpie"/>
          <w:rFonts w:ascii="Garamond" w:hAnsi="Garamond" w:cs="Arial"/>
        </w:rPr>
        <w:footnoteReference w:id="45"/>
      </w:r>
      <w:r>
        <w:rPr>
          <w:rFonts w:ascii="Garamond" w:hAnsi="Garamond" w:cs="Arial"/>
        </w:rPr>
        <w:t xml:space="preserve">para los más vulnerables alcanzan a 3.492.644 </w:t>
      </w:r>
      <w:r w:rsidR="005119E1">
        <w:rPr>
          <w:rFonts w:ascii="Garamond" w:hAnsi="Garamond" w:cs="Arial"/>
        </w:rPr>
        <w:t>prestaciones</w:t>
      </w:r>
      <w:r>
        <w:rPr>
          <w:rFonts w:ascii="Garamond" w:hAnsi="Garamond" w:cs="Arial"/>
        </w:rPr>
        <w:t>benefici</w:t>
      </w:r>
      <w:r w:rsidR="004A2BB6">
        <w:rPr>
          <w:rFonts w:ascii="Garamond" w:hAnsi="Garamond" w:cs="Arial"/>
        </w:rPr>
        <w:t>arias</w:t>
      </w:r>
      <w:r>
        <w:rPr>
          <w:rFonts w:ascii="Garamond" w:hAnsi="Garamond" w:cs="Arial"/>
        </w:rPr>
        <w:t xml:space="preserve"> por un valor total en el 2011, de $287.444 millones. </w:t>
      </w:r>
      <w:r w:rsidR="00360FA9">
        <w:rPr>
          <w:rFonts w:ascii="Garamond" w:hAnsi="Garamond" w:cs="Arial"/>
        </w:rPr>
        <w:t xml:space="preserve">Por regiones, </w:t>
      </w:r>
      <w:r w:rsidR="00BC4FF8">
        <w:rPr>
          <w:rFonts w:ascii="Garamond" w:hAnsi="Garamond" w:cs="Arial"/>
        </w:rPr>
        <w:t xml:space="preserve">Santiago </w:t>
      </w:r>
      <w:r w:rsidR="00360FA9">
        <w:rPr>
          <w:rFonts w:ascii="Garamond" w:hAnsi="Garamond" w:cs="Arial"/>
        </w:rPr>
        <w:t xml:space="preserve">tiene el 24% de los beneficiarios y </w:t>
      </w:r>
      <w:r w:rsidR="00BC4FF8">
        <w:rPr>
          <w:rFonts w:ascii="Garamond" w:hAnsi="Garamond" w:cs="Arial"/>
        </w:rPr>
        <w:t>el 17,%</w:t>
      </w:r>
      <w:r w:rsidR="00360FA9">
        <w:rPr>
          <w:rFonts w:ascii="Garamond" w:hAnsi="Garamond" w:cs="Arial"/>
        </w:rPr>
        <w:t>del valor que le es transferido</w:t>
      </w:r>
      <w:r w:rsidR="001E1D13">
        <w:rPr>
          <w:rFonts w:ascii="Garamond" w:hAnsi="Garamond" w:cs="Arial"/>
        </w:rPr>
        <w:t>;</w:t>
      </w:r>
      <w:r w:rsidR="00360FA9">
        <w:rPr>
          <w:rFonts w:ascii="Garamond" w:hAnsi="Garamond" w:cs="Arial"/>
        </w:rPr>
        <w:t xml:space="preserve"> en segundo lugar se ubica Biobío, con 21%, y Valparaíso 9,6%. Las regiones mineras reciben un promedio de 2,8% </w:t>
      </w:r>
      <w:r w:rsidR="00BC4FF8">
        <w:rPr>
          <w:rFonts w:ascii="Garamond" w:hAnsi="Garamond" w:cs="Arial"/>
        </w:rPr>
        <w:t xml:space="preserve">de los beneficios </w:t>
      </w:r>
      <w:r w:rsidR="00360FA9">
        <w:rPr>
          <w:rFonts w:ascii="Garamond" w:hAnsi="Garamond" w:cs="Arial"/>
        </w:rPr>
        <w:t>y, el 11,</w:t>
      </w:r>
      <w:r w:rsidR="00BC4FF8">
        <w:rPr>
          <w:rFonts w:ascii="Garamond" w:hAnsi="Garamond" w:cs="Arial"/>
        </w:rPr>
        <w:t>7</w:t>
      </w:r>
      <w:r w:rsidR="00360FA9">
        <w:rPr>
          <w:rFonts w:ascii="Garamond" w:hAnsi="Garamond" w:cs="Arial"/>
        </w:rPr>
        <w:t xml:space="preserve">% del total </w:t>
      </w:r>
      <w:r w:rsidR="00BC4FF8">
        <w:rPr>
          <w:rFonts w:ascii="Garamond" w:hAnsi="Garamond" w:cs="Arial"/>
        </w:rPr>
        <w:t xml:space="preserve">del valor </w:t>
      </w:r>
      <w:r w:rsidR="00360FA9">
        <w:rPr>
          <w:rFonts w:ascii="Garamond" w:hAnsi="Garamond" w:cs="Arial"/>
        </w:rPr>
        <w:t xml:space="preserve">en el país.  </w:t>
      </w:r>
    </w:p>
    <w:p w:rsidR="00D1697E" w:rsidRDefault="00D1697E" w:rsidP="000C1827">
      <w:pPr>
        <w:pStyle w:val="NormalWeb"/>
        <w:numPr>
          <w:ilvl w:val="0"/>
          <w:numId w:val="11"/>
        </w:numPr>
        <w:tabs>
          <w:tab w:val="left" w:pos="567"/>
        </w:tabs>
        <w:spacing w:before="0" w:beforeAutospacing="0" w:after="240" w:afterAutospacing="0" w:line="288" w:lineRule="auto"/>
        <w:ind w:left="0" w:firstLine="0"/>
        <w:jc w:val="both"/>
        <w:rPr>
          <w:rFonts w:ascii="Garamond" w:hAnsi="Garamond" w:cs="Arial"/>
          <w:b/>
        </w:rPr>
      </w:pPr>
      <w:r>
        <w:rPr>
          <w:rFonts w:ascii="Garamond" w:hAnsi="Garamond" w:cs="Arial"/>
          <w:b/>
        </w:rPr>
        <w:t>Educación</w:t>
      </w:r>
    </w:p>
    <w:p w:rsidR="00D1697E" w:rsidRPr="00D779EE" w:rsidRDefault="00D779EE" w:rsidP="000C1827">
      <w:pPr>
        <w:pStyle w:val="NormalWeb"/>
        <w:tabs>
          <w:tab w:val="left" w:pos="567"/>
        </w:tabs>
        <w:spacing w:before="0" w:beforeAutospacing="0" w:after="240" w:afterAutospacing="0" w:line="288" w:lineRule="auto"/>
        <w:jc w:val="both"/>
        <w:rPr>
          <w:rFonts w:ascii="Garamond" w:hAnsi="Garamond" w:cs="Arial"/>
        </w:rPr>
      </w:pPr>
      <w:r w:rsidRPr="00D779EE">
        <w:rPr>
          <w:rFonts w:ascii="Garamond" w:hAnsi="Garamond" w:cs="Arial"/>
        </w:rPr>
        <w:t>L</w:t>
      </w:r>
      <w:r>
        <w:rPr>
          <w:rFonts w:ascii="Garamond" w:hAnsi="Garamond" w:cs="Arial"/>
        </w:rPr>
        <w:t xml:space="preserve">a </w:t>
      </w:r>
      <w:r w:rsidRPr="00D779EE">
        <w:rPr>
          <w:rFonts w:ascii="Garamond" w:hAnsi="Garamond" w:cs="Arial"/>
        </w:rPr>
        <w:t xml:space="preserve">escolaridad </w:t>
      </w:r>
      <w:r>
        <w:rPr>
          <w:rFonts w:ascii="Garamond" w:hAnsi="Garamond" w:cs="Arial"/>
        </w:rPr>
        <w:t>de la población de 15 años y más en el año 2009</w:t>
      </w:r>
      <w:r>
        <w:rPr>
          <w:rStyle w:val="Refdenotaalpie"/>
          <w:rFonts w:ascii="Garamond" w:hAnsi="Garamond" w:cs="Arial"/>
        </w:rPr>
        <w:footnoteReference w:id="46"/>
      </w:r>
      <w:r>
        <w:rPr>
          <w:rFonts w:ascii="Garamond" w:hAnsi="Garamond" w:cs="Arial"/>
        </w:rPr>
        <w:t xml:space="preserve">, </w:t>
      </w:r>
      <w:r w:rsidR="00BC4FF8">
        <w:rPr>
          <w:rFonts w:ascii="Garamond" w:hAnsi="Garamond" w:cs="Arial"/>
        </w:rPr>
        <w:t xml:space="preserve">que alcanza a </w:t>
      </w:r>
      <w:r>
        <w:rPr>
          <w:rFonts w:ascii="Garamond" w:hAnsi="Garamond" w:cs="Arial"/>
        </w:rPr>
        <w:t xml:space="preserve">12.967.277, es de 10,39 años. En la región de Santiago es de 11,19 años; y para las 4 regiones mineras </w:t>
      </w:r>
      <w:r w:rsidR="00BC4FF8">
        <w:rPr>
          <w:rFonts w:ascii="Garamond" w:hAnsi="Garamond" w:cs="Arial"/>
        </w:rPr>
        <w:t xml:space="preserve">es de </w:t>
      </w:r>
      <w:r w:rsidR="001E6931">
        <w:rPr>
          <w:rFonts w:ascii="Garamond" w:hAnsi="Garamond" w:cs="Arial"/>
        </w:rPr>
        <w:t>un promedio de 10,35 años</w:t>
      </w:r>
      <w:r>
        <w:rPr>
          <w:rFonts w:ascii="Garamond" w:hAnsi="Garamond" w:cs="Arial"/>
        </w:rPr>
        <w:t xml:space="preserve">. </w:t>
      </w:r>
      <w:r w:rsidR="002115C8">
        <w:rPr>
          <w:rFonts w:ascii="Garamond" w:hAnsi="Garamond" w:cs="Arial"/>
        </w:rPr>
        <w:t>El tipo de educación de la población del pa</w:t>
      </w:r>
      <w:r w:rsidR="002C09D2">
        <w:rPr>
          <w:rFonts w:ascii="Garamond" w:hAnsi="Garamond" w:cs="Arial"/>
        </w:rPr>
        <w:t xml:space="preserve">ís, es </w:t>
      </w:r>
      <w:r w:rsidR="00BC4FF8">
        <w:rPr>
          <w:rFonts w:ascii="Garamond" w:hAnsi="Garamond" w:cs="Arial"/>
        </w:rPr>
        <w:t xml:space="preserve">educación media en </w:t>
      </w:r>
      <w:r w:rsidR="00E13271">
        <w:rPr>
          <w:rFonts w:ascii="Garamond" w:hAnsi="Garamond" w:cs="Arial"/>
        </w:rPr>
        <w:t>25,9% (</w:t>
      </w:r>
      <w:r w:rsidR="00DD59D5">
        <w:rPr>
          <w:rFonts w:ascii="Garamond" w:hAnsi="Garamond" w:cs="Arial"/>
        </w:rPr>
        <w:t>-</w:t>
      </w:r>
      <w:r w:rsidR="00E13271">
        <w:rPr>
          <w:rFonts w:ascii="Garamond" w:hAnsi="Garamond" w:cs="Arial"/>
        </w:rPr>
        <w:t xml:space="preserve">1 punto porcentual inferior que el promedio de las 4 regiones mineras), </w:t>
      </w:r>
      <w:r w:rsidR="002C09D2">
        <w:rPr>
          <w:rFonts w:ascii="Garamond" w:hAnsi="Garamond" w:cs="Arial"/>
        </w:rPr>
        <w:t>26,5% educación básica</w:t>
      </w:r>
      <w:r w:rsidR="00DD59D5">
        <w:rPr>
          <w:rFonts w:ascii="Garamond" w:hAnsi="Garamond" w:cs="Arial"/>
        </w:rPr>
        <w:t>(0,2 pp)</w:t>
      </w:r>
      <w:r w:rsidR="00E13271">
        <w:rPr>
          <w:rFonts w:ascii="Garamond" w:hAnsi="Garamond" w:cs="Arial"/>
        </w:rPr>
        <w:t xml:space="preserve">, </w:t>
      </w:r>
      <w:r w:rsidR="002C09D2">
        <w:rPr>
          <w:rFonts w:ascii="Garamond" w:hAnsi="Garamond" w:cs="Arial"/>
        </w:rPr>
        <w:t>8,5% media técnico profesional</w:t>
      </w:r>
      <w:r w:rsidR="00DD59D5">
        <w:rPr>
          <w:rFonts w:ascii="Garamond" w:hAnsi="Garamond" w:cs="Arial"/>
        </w:rPr>
        <w:t xml:space="preserve"> (-2,3 pp)</w:t>
      </w:r>
      <w:r w:rsidR="002C09D2">
        <w:rPr>
          <w:rFonts w:ascii="Garamond" w:hAnsi="Garamond" w:cs="Arial"/>
        </w:rPr>
        <w:t>, 5,8 preparatoria (sistema antiguo) 5,2% universitaria incompleta</w:t>
      </w:r>
      <w:r w:rsidR="00DD59D5">
        <w:rPr>
          <w:rFonts w:ascii="Garamond" w:hAnsi="Garamond" w:cs="Arial"/>
        </w:rPr>
        <w:t xml:space="preserve"> (0,4 pp)</w:t>
      </w:r>
      <w:r w:rsidR="002C09D2">
        <w:rPr>
          <w:rFonts w:ascii="Garamond" w:hAnsi="Garamond" w:cs="Arial"/>
        </w:rPr>
        <w:t xml:space="preserve"> y 5,1%universitaria completa</w:t>
      </w:r>
      <w:r w:rsidR="00DD59D5">
        <w:rPr>
          <w:rFonts w:ascii="Garamond" w:hAnsi="Garamond" w:cs="Arial"/>
        </w:rPr>
        <w:t xml:space="preserve"> (1,4 pp)</w:t>
      </w:r>
      <w:r w:rsidR="002C09D2">
        <w:rPr>
          <w:rFonts w:ascii="Garamond" w:hAnsi="Garamond" w:cs="Arial"/>
        </w:rPr>
        <w:t xml:space="preserve">, </w:t>
      </w:r>
      <w:r w:rsidR="00E13271">
        <w:rPr>
          <w:rFonts w:ascii="Garamond" w:hAnsi="Garamond" w:cs="Arial"/>
        </w:rPr>
        <w:t>y además ninguna educación, 7,3%</w:t>
      </w:r>
      <w:r w:rsidR="00DD59D5">
        <w:rPr>
          <w:rFonts w:ascii="Garamond" w:hAnsi="Garamond" w:cs="Arial"/>
        </w:rPr>
        <w:t xml:space="preserve"> (-0,7 pp)</w:t>
      </w:r>
      <w:r w:rsidR="00E13271">
        <w:rPr>
          <w:rFonts w:ascii="Garamond" w:hAnsi="Garamond" w:cs="Arial"/>
        </w:rPr>
        <w:t xml:space="preserve">, </w:t>
      </w:r>
      <w:r w:rsidR="002C09D2">
        <w:rPr>
          <w:rFonts w:ascii="Garamond" w:hAnsi="Garamond" w:cs="Arial"/>
        </w:rPr>
        <w:t xml:space="preserve">entre otros.  </w:t>
      </w:r>
    </w:p>
    <w:p w:rsidR="00D1697E" w:rsidRDefault="00BB65AB" w:rsidP="000C1827">
      <w:pPr>
        <w:pStyle w:val="NormalWeb"/>
        <w:tabs>
          <w:tab w:val="left" w:pos="567"/>
        </w:tabs>
        <w:spacing w:before="0" w:beforeAutospacing="0" w:after="240" w:afterAutospacing="0" w:line="288" w:lineRule="auto"/>
        <w:jc w:val="both"/>
        <w:rPr>
          <w:rFonts w:ascii="Garamond" w:hAnsi="Garamond" w:cs="Arial"/>
        </w:rPr>
      </w:pPr>
      <w:r w:rsidRPr="00BB65AB">
        <w:rPr>
          <w:rFonts w:ascii="Garamond" w:hAnsi="Garamond" w:cs="Arial"/>
        </w:rPr>
        <w:t>En los resultados del SIMCE</w:t>
      </w:r>
      <w:r>
        <w:rPr>
          <w:rFonts w:ascii="Garamond" w:hAnsi="Garamond" w:cs="Arial"/>
        </w:rPr>
        <w:t xml:space="preserve">, </w:t>
      </w:r>
      <w:r w:rsidR="00904FEE">
        <w:rPr>
          <w:rFonts w:ascii="Garamond" w:hAnsi="Garamond" w:cs="Arial"/>
        </w:rPr>
        <w:t xml:space="preserve">las regiones mineras se sitúan </w:t>
      </w:r>
      <w:r w:rsidR="00B60142">
        <w:rPr>
          <w:rFonts w:ascii="Garamond" w:hAnsi="Garamond" w:cs="Arial"/>
        </w:rPr>
        <w:t xml:space="preserve">por debajo de los promedios nacionales, en 4 puntos en Matemática; 3,2 puntos en Comprensión del medio natural; y 3,7 Lectura, para 4° y 8° básico. Con respecto a Santiago, estas diferencias son aún mayores. </w:t>
      </w:r>
      <w:r w:rsidR="006725E2">
        <w:rPr>
          <w:rFonts w:ascii="Garamond" w:hAnsi="Garamond" w:cs="Arial"/>
        </w:rPr>
        <w:t xml:space="preserve">En tanto en la PSU, se aprecia un puntaje inferior al nacional, en todos los años, desde 2004. Este alcanza una diferencia promedio </w:t>
      </w:r>
      <w:r w:rsidR="00C51718">
        <w:rPr>
          <w:rFonts w:ascii="Garamond" w:hAnsi="Garamond" w:cs="Arial"/>
        </w:rPr>
        <w:t>de -16,9, y una mediana de -17,5, que fluctúa entre -8 y -5,9 en Antofagasta y -23,9 y 26 en Atacama, respectivamente. Las diferencias con Santiago son mayores, de 30</w:t>
      </w:r>
      <w:r w:rsidR="001E1D13">
        <w:rPr>
          <w:rFonts w:ascii="Garamond" w:hAnsi="Garamond" w:cs="Arial"/>
        </w:rPr>
        <w:t xml:space="preserve"> puntos</w:t>
      </w:r>
      <w:r w:rsidR="00C51718">
        <w:rPr>
          <w:rFonts w:ascii="Garamond" w:hAnsi="Garamond" w:cs="Arial"/>
        </w:rPr>
        <w:t xml:space="preserve"> en promedio y 30,7, la mediana.  En todo caso, las diferencias tienden a disminuir, desde 22,5 </w:t>
      </w:r>
      <w:r w:rsidR="00BC4FF8">
        <w:rPr>
          <w:rFonts w:ascii="Garamond" w:hAnsi="Garamond" w:cs="Arial"/>
        </w:rPr>
        <w:t xml:space="preserve">con respecto al </w:t>
      </w:r>
      <w:r w:rsidR="00C51718">
        <w:rPr>
          <w:rFonts w:ascii="Garamond" w:hAnsi="Garamond" w:cs="Arial"/>
        </w:rPr>
        <w:t xml:space="preserve">país y </w:t>
      </w:r>
      <w:r w:rsidR="00F3025F">
        <w:rPr>
          <w:rFonts w:ascii="Garamond" w:hAnsi="Garamond" w:cs="Arial"/>
        </w:rPr>
        <w:t>34,4</w:t>
      </w:r>
      <w:r w:rsidR="00BC4FF8">
        <w:rPr>
          <w:rFonts w:ascii="Garamond" w:hAnsi="Garamond" w:cs="Arial"/>
        </w:rPr>
        <w:t xml:space="preserve"> sobre</w:t>
      </w:r>
      <w:r w:rsidR="00F3025F">
        <w:rPr>
          <w:rFonts w:ascii="Garamond" w:hAnsi="Garamond" w:cs="Arial"/>
        </w:rPr>
        <w:t xml:space="preserve"> Santiago, a 13 y 27,9, respectivamente. Y el número </w:t>
      </w:r>
      <w:r w:rsidR="001E1D13">
        <w:rPr>
          <w:rFonts w:ascii="Garamond" w:hAnsi="Garamond" w:cs="Arial"/>
        </w:rPr>
        <w:t xml:space="preserve">de </w:t>
      </w:r>
      <w:r w:rsidR="00F3025F">
        <w:rPr>
          <w:rFonts w:ascii="Garamond" w:hAnsi="Garamond" w:cs="Arial"/>
        </w:rPr>
        <w:t xml:space="preserve">postulantes que rinden la PSU, suben en 51,3% en el país, en Coquimbo, un 63%, </w:t>
      </w:r>
      <w:r w:rsidR="009B1728">
        <w:rPr>
          <w:rFonts w:ascii="Garamond" w:hAnsi="Garamond" w:cs="Arial"/>
        </w:rPr>
        <w:t xml:space="preserve">pero en </w:t>
      </w:r>
      <w:r w:rsidR="00F3025F">
        <w:rPr>
          <w:rFonts w:ascii="Garamond" w:hAnsi="Garamond" w:cs="Arial"/>
        </w:rPr>
        <w:t xml:space="preserve">Antofagasta, 35,7% y Atacama, 13,4%. </w:t>
      </w:r>
    </w:p>
    <w:p w:rsidR="00D1232B" w:rsidRDefault="00BC7525" w:rsidP="000C1827">
      <w:pPr>
        <w:pStyle w:val="NormalWeb"/>
        <w:tabs>
          <w:tab w:val="left" w:pos="567"/>
        </w:tabs>
        <w:spacing w:before="0" w:beforeAutospacing="0" w:after="240" w:afterAutospacing="0" w:line="288" w:lineRule="auto"/>
        <w:jc w:val="both"/>
        <w:rPr>
          <w:rFonts w:ascii="Garamond" w:hAnsi="Garamond" w:cs="Arial"/>
        </w:rPr>
      </w:pPr>
      <w:r>
        <w:rPr>
          <w:rFonts w:ascii="Garamond" w:hAnsi="Garamond" w:cs="Arial"/>
        </w:rPr>
        <w:t xml:space="preserve">Las matrículas en la educación superior en </w:t>
      </w:r>
      <w:r w:rsidR="001F2B68">
        <w:rPr>
          <w:rFonts w:ascii="Garamond" w:hAnsi="Garamond" w:cs="Arial"/>
        </w:rPr>
        <w:t xml:space="preserve">el año 2012 alcanza a 1.068.263 estudiantes en el país, que se distribuye entre 62% universitario, 25,1 institutos profesionales y 13% centros de formación técnica; y en </w:t>
      </w:r>
      <w:r>
        <w:rPr>
          <w:rFonts w:ascii="Garamond" w:hAnsi="Garamond" w:cs="Arial"/>
        </w:rPr>
        <w:t>21 años (1990-2011) crecen 335%</w:t>
      </w:r>
      <w:r w:rsidR="001F2B68">
        <w:rPr>
          <w:rFonts w:ascii="Garamond" w:hAnsi="Garamond" w:cs="Arial"/>
        </w:rPr>
        <w:t xml:space="preserve"> en total, y en </w:t>
      </w:r>
      <w:r>
        <w:rPr>
          <w:rFonts w:ascii="Garamond" w:hAnsi="Garamond" w:cs="Arial"/>
        </w:rPr>
        <w:t>419%</w:t>
      </w:r>
      <w:r w:rsidR="001F2B68">
        <w:rPr>
          <w:rFonts w:ascii="Garamond" w:hAnsi="Garamond" w:cs="Arial"/>
        </w:rPr>
        <w:t xml:space="preserve">, </w:t>
      </w:r>
      <w:r>
        <w:rPr>
          <w:rFonts w:ascii="Garamond" w:hAnsi="Garamond" w:cs="Arial"/>
        </w:rPr>
        <w:t>569% y 78%</w:t>
      </w:r>
      <w:r w:rsidR="0091783B">
        <w:rPr>
          <w:rFonts w:ascii="Garamond" w:hAnsi="Garamond" w:cs="Arial"/>
        </w:rPr>
        <w:t>, para cada una de las categorías, respectivamente</w:t>
      </w:r>
      <w:r>
        <w:rPr>
          <w:rFonts w:ascii="Garamond" w:hAnsi="Garamond" w:cs="Arial"/>
        </w:rPr>
        <w:t xml:space="preserve">. En las regiones mineras, </w:t>
      </w:r>
      <w:r w:rsidR="0091783B">
        <w:rPr>
          <w:rFonts w:ascii="Garamond" w:hAnsi="Garamond" w:cs="Arial"/>
        </w:rPr>
        <w:t>la composición de dichas categoría</w:t>
      </w:r>
      <w:r w:rsidR="001E1D13">
        <w:rPr>
          <w:rFonts w:ascii="Garamond" w:hAnsi="Garamond" w:cs="Arial"/>
        </w:rPr>
        <w:t>s</w:t>
      </w:r>
      <w:r w:rsidR="0091783B">
        <w:rPr>
          <w:rFonts w:ascii="Garamond" w:hAnsi="Garamond" w:cs="Arial"/>
        </w:rPr>
        <w:t xml:space="preserve"> en promedio es de 64%, 17,5% y 18,3%</w:t>
      </w:r>
      <w:r w:rsidR="00D1232B">
        <w:rPr>
          <w:rFonts w:ascii="Garamond" w:hAnsi="Garamond" w:cs="Arial"/>
        </w:rPr>
        <w:t>, y las variaciones superan al promedio del país, siendo 439%, 1.888% y 238%, respectivamente. En todo caso, estos resultados indican incrementos en cantidad, y no necesariamente en calidad, que es un aspecto de gran relevancia para la promoción del desarrollo de esos territorios.</w:t>
      </w:r>
    </w:p>
    <w:p w:rsidR="00BB65AB" w:rsidRDefault="00BB65AB" w:rsidP="000C1827">
      <w:pPr>
        <w:pStyle w:val="NormalWeb"/>
        <w:tabs>
          <w:tab w:val="left" w:pos="567"/>
        </w:tabs>
        <w:spacing w:before="0" w:beforeAutospacing="0" w:after="240" w:afterAutospacing="0" w:line="288" w:lineRule="auto"/>
        <w:jc w:val="both"/>
        <w:rPr>
          <w:rFonts w:ascii="Garamond" w:hAnsi="Garamond" w:cs="Arial"/>
          <w:b/>
        </w:rPr>
      </w:pPr>
    </w:p>
    <w:p w:rsidR="00D1697E" w:rsidRPr="00D1697E" w:rsidRDefault="000C1827" w:rsidP="000C1827">
      <w:pPr>
        <w:pStyle w:val="NormalWeb"/>
        <w:numPr>
          <w:ilvl w:val="0"/>
          <w:numId w:val="11"/>
        </w:numPr>
        <w:tabs>
          <w:tab w:val="left" w:pos="567"/>
        </w:tabs>
        <w:spacing w:before="0" w:beforeAutospacing="0" w:after="240" w:afterAutospacing="0" w:line="288" w:lineRule="auto"/>
        <w:ind w:left="0" w:firstLine="0"/>
        <w:jc w:val="both"/>
        <w:rPr>
          <w:rFonts w:ascii="Garamond" w:hAnsi="Garamond" w:cs="Arial"/>
          <w:b/>
        </w:rPr>
      </w:pPr>
      <w:r>
        <w:rPr>
          <w:rFonts w:ascii="Garamond" w:hAnsi="Garamond" w:cs="Arial"/>
          <w:b/>
        </w:rPr>
        <w:t>Salud</w:t>
      </w:r>
    </w:p>
    <w:p w:rsidR="00D1697E" w:rsidRPr="005A28B2" w:rsidRDefault="005A28B2" w:rsidP="000C1827">
      <w:pPr>
        <w:spacing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En la salud en el país se </w:t>
      </w:r>
      <w:r w:rsidR="00470D81">
        <w:rPr>
          <w:rFonts w:ascii="Garamond" w:eastAsia="Times New Roman" w:hAnsi="Garamond" w:cs="Arial"/>
          <w:sz w:val="24"/>
          <w:szCs w:val="24"/>
          <w:lang w:val="es-ES" w:eastAsia="es-ES"/>
        </w:rPr>
        <w:t xml:space="preserve">aprecia un descenso en las tasas de mortalidad general por mil habitantes, desde 5,5 a 5,4, entre 1996 y 2009; y la mortalidad infantil, entre 11,7 y 8,8. En las 4 regiones mineras los promedios varían entre 4,75 y 4,63, y 12,85 y 9,08, respectivamente. </w:t>
      </w:r>
      <w:r w:rsidR="00F1075F">
        <w:rPr>
          <w:rFonts w:ascii="Garamond" w:eastAsia="Times New Roman" w:hAnsi="Garamond" w:cs="Arial"/>
          <w:sz w:val="24"/>
          <w:szCs w:val="24"/>
          <w:lang w:val="es-ES" w:eastAsia="es-ES"/>
        </w:rPr>
        <w:t>Y l</w:t>
      </w:r>
      <w:r w:rsidR="00470D81">
        <w:rPr>
          <w:rFonts w:ascii="Garamond" w:eastAsia="Times New Roman" w:hAnsi="Garamond" w:cs="Arial"/>
          <w:sz w:val="24"/>
          <w:szCs w:val="24"/>
          <w:lang w:val="es-ES" w:eastAsia="es-ES"/>
        </w:rPr>
        <w:t>a tasa de natalidad en el país experimenta una baja,</w:t>
      </w:r>
      <w:r w:rsidR="00F1075F">
        <w:rPr>
          <w:rFonts w:ascii="Garamond" w:eastAsia="Times New Roman" w:hAnsi="Garamond" w:cs="Arial"/>
          <w:sz w:val="24"/>
          <w:szCs w:val="24"/>
          <w:lang w:val="es-ES" w:eastAsia="es-ES"/>
        </w:rPr>
        <w:t xml:space="preserve"> de 3,4 puntos porcentuales, alcanzando a 15 por mil habitantes, y también en las regiones mineras, se produce un descenso, aunque menor, de 3 pp, que las sitúan con 17,63 por 1.000 habitantes.</w:t>
      </w:r>
    </w:p>
    <w:p w:rsidR="00275057" w:rsidRDefault="00F1075F" w:rsidP="000C1827">
      <w:pPr>
        <w:spacing w:line="288" w:lineRule="auto"/>
        <w:jc w:val="both"/>
        <w:rPr>
          <w:rFonts w:ascii="Garamond" w:eastAsia="Times New Roman" w:hAnsi="Garamond" w:cs="Arial"/>
          <w:sz w:val="24"/>
          <w:szCs w:val="24"/>
          <w:lang w:val="es-ES" w:eastAsia="es-ES"/>
        </w:rPr>
      </w:pPr>
      <w:r w:rsidRPr="00F1075F">
        <w:rPr>
          <w:rFonts w:ascii="Garamond" w:eastAsia="Times New Roman" w:hAnsi="Garamond" w:cs="Arial"/>
          <w:sz w:val="24"/>
          <w:szCs w:val="24"/>
          <w:lang w:val="es-ES" w:eastAsia="es-ES"/>
        </w:rPr>
        <w:t xml:space="preserve">Los centros </w:t>
      </w:r>
      <w:r>
        <w:rPr>
          <w:rFonts w:ascii="Garamond" w:eastAsia="Times New Roman" w:hAnsi="Garamond" w:cs="Arial"/>
          <w:sz w:val="24"/>
          <w:szCs w:val="24"/>
          <w:lang w:val="es-ES" w:eastAsia="es-ES"/>
        </w:rPr>
        <w:t>p</w:t>
      </w:r>
      <w:r w:rsidRPr="00F1075F">
        <w:rPr>
          <w:rFonts w:ascii="Garamond" w:eastAsia="Times New Roman" w:hAnsi="Garamond" w:cs="Arial"/>
          <w:sz w:val="24"/>
          <w:szCs w:val="24"/>
          <w:lang w:val="es-ES" w:eastAsia="es-ES"/>
        </w:rPr>
        <w:t xml:space="preserve">úblicos de salud en el país </w:t>
      </w:r>
      <w:r>
        <w:rPr>
          <w:rFonts w:ascii="Garamond" w:eastAsia="Times New Roman" w:hAnsi="Garamond" w:cs="Arial"/>
          <w:sz w:val="24"/>
          <w:szCs w:val="24"/>
          <w:lang w:val="es-ES" w:eastAsia="es-ES"/>
        </w:rPr>
        <w:t xml:space="preserve">en el año 2012 son 2.416, </w:t>
      </w:r>
      <w:r w:rsidR="007737A1">
        <w:rPr>
          <w:rFonts w:ascii="Garamond" w:eastAsia="Times New Roman" w:hAnsi="Garamond" w:cs="Arial"/>
          <w:sz w:val="24"/>
          <w:szCs w:val="24"/>
          <w:lang w:val="es-ES" w:eastAsia="es-ES"/>
        </w:rPr>
        <w:t xml:space="preserve">y 277 se ubican en las regiones mineras (11,5%). Aquellos </w:t>
      </w:r>
      <w:r w:rsidR="00A62D88">
        <w:rPr>
          <w:rFonts w:ascii="Garamond" w:eastAsia="Times New Roman" w:hAnsi="Garamond" w:cs="Arial"/>
          <w:sz w:val="24"/>
          <w:szCs w:val="24"/>
          <w:lang w:val="es-ES" w:eastAsia="es-ES"/>
        </w:rPr>
        <w:t xml:space="preserve">están compuestos por </w:t>
      </w:r>
      <w:r w:rsidR="007737A1">
        <w:rPr>
          <w:rFonts w:ascii="Garamond" w:eastAsia="Times New Roman" w:hAnsi="Garamond" w:cs="Arial"/>
          <w:sz w:val="24"/>
          <w:szCs w:val="24"/>
          <w:lang w:val="es-ES" w:eastAsia="es-ES"/>
        </w:rPr>
        <w:t xml:space="preserve">61 </w:t>
      </w:r>
      <w:r w:rsidR="00D038EF">
        <w:rPr>
          <w:rFonts w:ascii="Garamond" w:eastAsia="Times New Roman" w:hAnsi="Garamond" w:cs="Arial"/>
          <w:sz w:val="24"/>
          <w:szCs w:val="24"/>
          <w:lang w:val="es-ES" w:eastAsia="es-ES"/>
        </w:rPr>
        <w:t xml:space="preserve">establecimientos </w:t>
      </w:r>
      <w:r w:rsidR="007737A1">
        <w:rPr>
          <w:rFonts w:ascii="Garamond" w:eastAsia="Times New Roman" w:hAnsi="Garamond" w:cs="Arial"/>
          <w:sz w:val="24"/>
          <w:szCs w:val="24"/>
          <w:lang w:val="es-ES" w:eastAsia="es-ES"/>
        </w:rPr>
        <w:t>de mayor complejidad, 25 establecimientos de mediana complejidad, y 98 de menor complejidad, de los cuales, 7, 3 y 10 se ubican en las regiones mineras, respectivamente.</w:t>
      </w:r>
      <w:r w:rsidR="00275057">
        <w:rPr>
          <w:rFonts w:ascii="Garamond" w:eastAsia="Times New Roman" w:hAnsi="Garamond" w:cs="Arial"/>
          <w:sz w:val="24"/>
          <w:szCs w:val="24"/>
          <w:lang w:val="es-ES" w:eastAsia="es-ES"/>
        </w:rPr>
        <w:t xml:space="preserve"> A nivel privado, existen 569 establecimientos de salud, 91 de los cuales se encuentran en las regiones mineras. </w:t>
      </w:r>
    </w:p>
    <w:p w:rsidR="00D1697E" w:rsidRPr="00D1697E" w:rsidRDefault="00D1697E" w:rsidP="000C1827">
      <w:pPr>
        <w:spacing w:line="288" w:lineRule="auto"/>
        <w:rPr>
          <w:rFonts w:ascii="Garamond" w:hAnsi="Garamond" w:cs="Arial"/>
          <w:b/>
        </w:rPr>
      </w:pPr>
    </w:p>
    <w:p w:rsidR="00D1697E" w:rsidRDefault="00D1697E" w:rsidP="000C1827">
      <w:pPr>
        <w:pStyle w:val="NormalWeb"/>
        <w:numPr>
          <w:ilvl w:val="0"/>
          <w:numId w:val="11"/>
        </w:numPr>
        <w:tabs>
          <w:tab w:val="left" w:pos="567"/>
        </w:tabs>
        <w:spacing w:before="0" w:beforeAutospacing="0" w:after="240" w:afterAutospacing="0" w:line="288" w:lineRule="auto"/>
        <w:ind w:left="0" w:firstLine="0"/>
        <w:jc w:val="both"/>
        <w:rPr>
          <w:rFonts w:ascii="Garamond" w:hAnsi="Garamond" w:cs="Arial"/>
          <w:b/>
        </w:rPr>
      </w:pPr>
      <w:r>
        <w:rPr>
          <w:rFonts w:ascii="Garamond" w:hAnsi="Garamond" w:cs="Arial"/>
          <w:b/>
        </w:rPr>
        <w:t>Vivienda</w:t>
      </w:r>
    </w:p>
    <w:p w:rsidR="007D752E" w:rsidRDefault="007D752E" w:rsidP="000C1827">
      <w:pPr>
        <w:spacing w:line="288" w:lineRule="auto"/>
        <w:jc w:val="both"/>
        <w:rPr>
          <w:rFonts w:ascii="Garamond" w:eastAsia="Times New Roman" w:hAnsi="Garamond" w:cs="Arial"/>
          <w:sz w:val="24"/>
          <w:szCs w:val="24"/>
          <w:lang w:val="es-ES" w:eastAsia="es-ES"/>
        </w:rPr>
      </w:pPr>
      <w:r w:rsidRPr="007D752E">
        <w:rPr>
          <w:rFonts w:ascii="Garamond" w:eastAsia="Times New Roman" w:hAnsi="Garamond" w:cs="Arial"/>
          <w:sz w:val="24"/>
          <w:szCs w:val="24"/>
          <w:lang w:val="es-ES" w:eastAsia="es-ES"/>
        </w:rPr>
        <w:t>El número de hogares en el país</w:t>
      </w:r>
      <w:r>
        <w:rPr>
          <w:rStyle w:val="Refdenotaalpie"/>
          <w:rFonts w:ascii="Garamond" w:eastAsia="Times New Roman" w:hAnsi="Garamond" w:cs="Arial"/>
          <w:sz w:val="24"/>
          <w:szCs w:val="24"/>
          <w:lang w:val="es-ES" w:eastAsia="es-ES"/>
        </w:rPr>
        <w:footnoteReference w:id="47"/>
      </w:r>
      <w:r>
        <w:rPr>
          <w:rFonts w:ascii="Garamond" w:eastAsia="Times New Roman" w:hAnsi="Garamond" w:cs="Arial"/>
          <w:sz w:val="24"/>
          <w:szCs w:val="24"/>
          <w:lang w:val="es-ES" w:eastAsia="es-ES"/>
        </w:rPr>
        <w:t>son 4.685.490</w:t>
      </w:r>
      <w:r w:rsidR="00656FC8">
        <w:rPr>
          <w:rFonts w:ascii="Garamond" w:eastAsia="Times New Roman" w:hAnsi="Garamond" w:cs="Arial"/>
          <w:sz w:val="24"/>
          <w:szCs w:val="24"/>
          <w:lang w:val="es-ES" w:eastAsia="es-ES"/>
        </w:rPr>
        <w:t xml:space="preserve">, </w:t>
      </w:r>
      <w:r>
        <w:rPr>
          <w:rFonts w:ascii="Garamond" w:eastAsia="Times New Roman" w:hAnsi="Garamond" w:cs="Arial"/>
          <w:sz w:val="24"/>
          <w:szCs w:val="24"/>
          <w:lang w:val="es-ES" w:eastAsia="es-ES"/>
        </w:rPr>
        <w:t xml:space="preserve">el 90,9% no tiene condición de hacinamiento, 8,4% tiene hacinamiento medio y 0,7% hacinamiento crítico. </w:t>
      </w:r>
      <w:r w:rsidR="00656FC8">
        <w:rPr>
          <w:rFonts w:ascii="Garamond" w:eastAsia="Times New Roman" w:hAnsi="Garamond" w:cs="Arial"/>
          <w:sz w:val="24"/>
          <w:szCs w:val="24"/>
          <w:lang w:val="es-ES" w:eastAsia="es-ES"/>
        </w:rPr>
        <w:t xml:space="preserve">Para las regiones mineras, existen 473.516 hogares, y se aprecia una mayor vulnerabilidad y proporción de hacinamiento, con 88,4%, 10,6% y 1%, respectivamente. </w:t>
      </w:r>
      <w:r w:rsidR="0018313F">
        <w:rPr>
          <w:rFonts w:ascii="Garamond" w:eastAsia="Times New Roman" w:hAnsi="Garamond" w:cs="Arial"/>
          <w:sz w:val="24"/>
          <w:szCs w:val="24"/>
          <w:lang w:val="es-ES" w:eastAsia="es-ES"/>
        </w:rPr>
        <w:t xml:space="preserve">En relación </w:t>
      </w:r>
      <w:r w:rsidR="00656FC8">
        <w:rPr>
          <w:rFonts w:ascii="Garamond" w:eastAsia="Times New Roman" w:hAnsi="Garamond" w:cs="Arial"/>
          <w:sz w:val="24"/>
          <w:szCs w:val="24"/>
          <w:lang w:val="es-ES" w:eastAsia="es-ES"/>
        </w:rPr>
        <w:t xml:space="preserve">al país, </w:t>
      </w:r>
      <w:r w:rsidR="0018313F">
        <w:rPr>
          <w:rFonts w:ascii="Garamond" w:eastAsia="Times New Roman" w:hAnsi="Garamond" w:cs="Arial"/>
          <w:sz w:val="24"/>
          <w:szCs w:val="24"/>
          <w:lang w:val="es-ES" w:eastAsia="es-ES"/>
        </w:rPr>
        <w:t xml:space="preserve">el total de viviendas en las regiones mineras es el 10,1%, pero sin hacinamiento es de 9,8%, con medio hacinamiento, 12,8, y con hacinamiento crítico, 14,7%. </w:t>
      </w:r>
    </w:p>
    <w:p w:rsidR="0018313F" w:rsidRPr="00D1697E" w:rsidRDefault="0018313F" w:rsidP="000C1827">
      <w:pPr>
        <w:spacing w:line="288" w:lineRule="auto"/>
        <w:rPr>
          <w:rFonts w:ascii="Garamond" w:hAnsi="Garamond" w:cs="Arial"/>
          <w:b/>
        </w:rPr>
      </w:pPr>
    </w:p>
    <w:p w:rsidR="00D1697E" w:rsidRDefault="00D1697E" w:rsidP="000C1827">
      <w:pPr>
        <w:pStyle w:val="NormalWeb"/>
        <w:numPr>
          <w:ilvl w:val="0"/>
          <w:numId w:val="11"/>
        </w:numPr>
        <w:tabs>
          <w:tab w:val="left" w:pos="567"/>
        </w:tabs>
        <w:spacing w:before="0" w:beforeAutospacing="0" w:after="240" w:afterAutospacing="0" w:line="288" w:lineRule="auto"/>
        <w:ind w:left="0" w:firstLine="0"/>
        <w:jc w:val="both"/>
        <w:rPr>
          <w:rFonts w:ascii="Garamond" w:hAnsi="Garamond" w:cs="Arial"/>
          <w:b/>
        </w:rPr>
      </w:pPr>
      <w:r>
        <w:rPr>
          <w:rFonts w:ascii="Garamond" w:hAnsi="Garamond" w:cs="Arial"/>
          <w:b/>
        </w:rPr>
        <w:t>Justicia</w:t>
      </w:r>
    </w:p>
    <w:p w:rsidR="00D1697E" w:rsidRDefault="00F0559B" w:rsidP="000C1827">
      <w:pPr>
        <w:spacing w:line="288" w:lineRule="auto"/>
        <w:jc w:val="both"/>
        <w:rPr>
          <w:rFonts w:ascii="Garamond" w:eastAsia="Times New Roman" w:hAnsi="Garamond" w:cs="Arial"/>
          <w:sz w:val="24"/>
          <w:szCs w:val="24"/>
          <w:lang w:val="es-ES" w:eastAsia="es-ES"/>
        </w:rPr>
      </w:pPr>
      <w:r w:rsidRPr="00F0559B">
        <w:rPr>
          <w:rFonts w:ascii="Garamond" w:eastAsia="Times New Roman" w:hAnsi="Garamond" w:cs="Arial"/>
          <w:sz w:val="24"/>
          <w:szCs w:val="24"/>
          <w:lang w:val="es-ES" w:eastAsia="es-ES"/>
        </w:rPr>
        <w:t xml:space="preserve">La población penal en el país está compuesta por </w:t>
      </w:r>
      <w:r>
        <w:rPr>
          <w:rFonts w:ascii="Garamond" w:eastAsia="Times New Roman" w:hAnsi="Garamond" w:cs="Arial"/>
          <w:sz w:val="24"/>
          <w:szCs w:val="24"/>
          <w:lang w:val="es-ES" w:eastAsia="es-ES"/>
        </w:rPr>
        <w:t>53.209 personas, y tiene un crecimiento de 249% desde el año 1980. Para las regiones mineras</w:t>
      </w:r>
      <w:r w:rsidR="00303A0B">
        <w:rPr>
          <w:rFonts w:ascii="Garamond" w:eastAsia="Times New Roman" w:hAnsi="Garamond" w:cs="Arial"/>
          <w:sz w:val="24"/>
          <w:szCs w:val="24"/>
          <w:lang w:val="es-ES" w:eastAsia="es-ES"/>
        </w:rPr>
        <w:t xml:space="preserve">, la población penal crece 428%, superando en 179 puntos porcentuales al país, y representa el 16,4% del total nacional.  </w:t>
      </w:r>
    </w:p>
    <w:p w:rsidR="00303A0B" w:rsidRPr="00F0559B" w:rsidRDefault="00303A0B" w:rsidP="000C1827">
      <w:pPr>
        <w:spacing w:line="288" w:lineRule="auto"/>
        <w:jc w:val="both"/>
        <w:rPr>
          <w:rFonts w:ascii="Garamond" w:eastAsia="Times New Roman" w:hAnsi="Garamond" w:cs="Arial"/>
          <w:sz w:val="24"/>
          <w:szCs w:val="24"/>
          <w:lang w:val="es-ES" w:eastAsia="es-ES"/>
        </w:rPr>
      </w:pPr>
    </w:p>
    <w:p w:rsidR="00D1697E" w:rsidRDefault="00D1697E" w:rsidP="000C1827">
      <w:pPr>
        <w:pStyle w:val="NormalWeb"/>
        <w:numPr>
          <w:ilvl w:val="0"/>
          <w:numId w:val="11"/>
        </w:numPr>
        <w:tabs>
          <w:tab w:val="left" w:pos="567"/>
        </w:tabs>
        <w:spacing w:before="0" w:beforeAutospacing="0" w:after="240" w:afterAutospacing="0" w:line="288" w:lineRule="auto"/>
        <w:ind w:left="0" w:firstLine="0"/>
        <w:jc w:val="both"/>
        <w:rPr>
          <w:rFonts w:ascii="Garamond" w:hAnsi="Garamond" w:cs="Arial"/>
          <w:b/>
        </w:rPr>
      </w:pPr>
      <w:r>
        <w:rPr>
          <w:rFonts w:ascii="Garamond" w:hAnsi="Garamond" w:cs="Arial"/>
          <w:b/>
        </w:rPr>
        <w:t>Previsión</w:t>
      </w:r>
    </w:p>
    <w:p w:rsidR="00BA2C6A" w:rsidRDefault="00C24BAE" w:rsidP="000C1827">
      <w:pPr>
        <w:spacing w:line="288" w:lineRule="auto"/>
        <w:jc w:val="both"/>
        <w:rPr>
          <w:rFonts w:ascii="Garamond" w:eastAsia="Times New Roman" w:hAnsi="Garamond" w:cs="Arial"/>
          <w:sz w:val="24"/>
          <w:szCs w:val="24"/>
          <w:lang w:val="es-ES" w:eastAsia="es-ES"/>
        </w:rPr>
      </w:pPr>
      <w:r w:rsidRPr="00C24BAE">
        <w:rPr>
          <w:rFonts w:ascii="Garamond" w:eastAsia="Times New Roman" w:hAnsi="Garamond" w:cs="Arial"/>
          <w:sz w:val="24"/>
          <w:szCs w:val="24"/>
          <w:lang w:val="es-ES" w:eastAsia="es-ES"/>
        </w:rPr>
        <w:t xml:space="preserve">Los seguros de salud pública en el país </w:t>
      </w:r>
      <w:r>
        <w:rPr>
          <w:rFonts w:ascii="Garamond" w:eastAsia="Times New Roman" w:hAnsi="Garamond" w:cs="Arial"/>
          <w:sz w:val="24"/>
          <w:szCs w:val="24"/>
          <w:lang w:val="es-ES" w:eastAsia="es-ES"/>
        </w:rPr>
        <w:t>tienen 12.731.506 beneficiarios, en el año 2010, de una población estimada de 17.171.360, que representa el 74% de ese total. Los beneficiarios crecen 39,3% desde 1998, mientras la población en 13,7%</w:t>
      </w:r>
      <w:r w:rsidR="00BA2C6A">
        <w:rPr>
          <w:rFonts w:ascii="Garamond" w:eastAsia="Times New Roman" w:hAnsi="Garamond" w:cs="Arial"/>
          <w:sz w:val="24"/>
          <w:szCs w:val="24"/>
          <w:lang w:val="es-ES" w:eastAsia="es-ES"/>
        </w:rPr>
        <w:t>. Los beneficiarios se dividen en 4 categorías de acuerdo a su nivel de ingresos</w:t>
      </w:r>
      <w:r w:rsidR="00D9049A">
        <w:rPr>
          <w:rFonts w:ascii="Garamond" w:eastAsia="Times New Roman" w:hAnsi="Garamond" w:cs="Arial"/>
          <w:sz w:val="24"/>
          <w:szCs w:val="24"/>
          <w:lang w:val="es-ES" w:eastAsia="es-ES"/>
        </w:rPr>
        <w:t>:</w:t>
      </w:r>
      <w:r>
        <w:rPr>
          <w:rStyle w:val="Refdenotaalpie"/>
          <w:rFonts w:ascii="Garamond" w:eastAsia="Times New Roman" w:hAnsi="Garamond" w:cs="Arial"/>
          <w:sz w:val="24"/>
          <w:szCs w:val="24"/>
          <w:lang w:val="es-ES" w:eastAsia="es-ES"/>
        </w:rPr>
        <w:footnoteReference w:id="48"/>
      </w:r>
      <w:r w:rsidR="00BA2C6A">
        <w:rPr>
          <w:rFonts w:ascii="Garamond" w:eastAsia="Times New Roman" w:hAnsi="Garamond" w:cs="Arial"/>
          <w:sz w:val="24"/>
          <w:szCs w:val="24"/>
          <w:lang w:val="es-ES" w:eastAsia="es-ES"/>
        </w:rPr>
        <w:t xml:space="preserve"> Beneficiarios A representan el 35,7%, B 31,2%, C 16,1% y D 17%. Estos varían en ese período, en 46%, 53%, 106% y menos 12%, respectivamente.</w:t>
      </w:r>
    </w:p>
    <w:p w:rsidR="00317B92" w:rsidRDefault="00BA2C6A" w:rsidP="00F97324">
      <w:pPr>
        <w:spacing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Para las regiones mineras, </w:t>
      </w:r>
      <w:r w:rsidR="00021C22">
        <w:rPr>
          <w:rFonts w:ascii="Garamond" w:eastAsia="Times New Roman" w:hAnsi="Garamond" w:cs="Arial"/>
          <w:sz w:val="24"/>
          <w:szCs w:val="24"/>
          <w:lang w:val="es-ES" w:eastAsia="es-ES"/>
        </w:rPr>
        <w:t>el total de beneficiarios es de 1.491.607, que representa el 71,5% del total de la población; y el 11,7% del total de beneficiarios en el país. Por categorías</w:t>
      </w:r>
      <w:r w:rsidR="00D9049A">
        <w:rPr>
          <w:rFonts w:ascii="Garamond" w:eastAsia="Times New Roman" w:hAnsi="Garamond" w:cs="Arial"/>
          <w:sz w:val="24"/>
          <w:szCs w:val="24"/>
          <w:lang w:val="es-ES" w:eastAsia="es-ES"/>
        </w:rPr>
        <w:t>:</w:t>
      </w:r>
      <w:r w:rsidR="00021C22">
        <w:rPr>
          <w:rFonts w:ascii="Garamond" w:eastAsia="Times New Roman" w:hAnsi="Garamond" w:cs="Arial"/>
          <w:sz w:val="24"/>
          <w:szCs w:val="24"/>
          <w:lang w:val="es-ES" w:eastAsia="es-ES"/>
        </w:rPr>
        <w:t xml:space="preserve"> Beneficiarios A son el 31%, B 31%, C 18% y D 20%; y su crecimiento es </w:t>
      </w:r>
      <w:r w:rsidR="003D081B">
        <w:rPr>
          <w:rFonts w:ascii="Garamond" w:eastAsia="Times New Roman" w:hAnsi="Garamond" w:cs="Arial"/>
          <w:sz w:val="24"/>
          <w:szCs w:val="24"/>
          <w:lang w:val="es-ES" w:eastAsia="es-ES"/>
        </w:rPr>
        <w:t>de 62%, 60%, 178% y menos 2%, respectivamente.</w:t>
      </w:r>
    </w:p>
    <w:p w:rsidR="00C65BDB" w:rsidRDefault="00C65BDB" w:rsidP="00F97324">
      <w:pPr>
        <w:spacing w:line="288" w:lineRule="auto"/>
        <w:jc w:val="both"/>
        <w:rPr>
          <w:rFonts w:ascii="Garamond" w:eastAsia="Times New Roman" w:hAnsi="Garamond" w:cs="Arial"/>
          <w:sz w:val="24"/>
          <w:szCs w:val="24"/>
          <w:lang w:val="es-ES" w:eastAsia="es-ES"/>
        </w:rPr>
      </w:pPr>
    </w:p>
    <w:p w:rsidR="00C65BDB" w:rsidRPr="00C65BDB" w:rsidRDefault="00C65BDB" w:rsidP="00C65BDB">
      <w:pPr>
        <w:pStyle w:val="Prrafodelista"/>
        <w:numPr>
          <w:ilvl w:val="0"/>
          <w:numId w:val="6"/>
        </w:numPr>
        <w:tabs>
          <w:tab w:val="left" w:pos="426"/>
        </w:tabs>
        <w:spacing w:line="288" w:lineRule="auto"/>
        <w:ind w:left="0" w:firstLine="0"/>
        <w:jc w:val="both"/>
        <w:rPr>
          <w:rFonts w:ascii="Garamond" w:eastAsia="Times New Roman" w:hAnsi="Garamond" w:cs="Arial"/>
          <w:b/>
          <w:sz w:val="24"/>
          <w:szCs w:val="24"/>
          <w:lang w:val="es-ES" w:eastAsia="es-ES"/>
        </w:rPr>
      </w:pPr>
      <w:r w:rsidRPr="00C65BDB">
        <w:rPr>
          <w:rFonts w:ascii="Garamond" w:eastAsia="Times New Roman" w:hAnsi="Garamond" w:cs="Arial"/>
          <w:b/>
          <w:sz w:val="24"/>
          <w:szCs w:val="24"/>
          <w:lang w:val="es-ES" w:eastAsia="es-ES"/>
        </w:rPr>
        <w:t>Es</w:t>
      </w:r>
      <w:r w:rsidR="000A4E40">
        <w:rPr>
          <w:rFonts w:ascii="Garamond" w:eastAsia="Times New Roman" w:hAnsi="Garamond" w:cs="Arial"/>
          <w:b/>
          <w:sz w:val="24"/>
          <w:szCs w:val="24"/>
          <w:lang w:val="es-ES" w:eastAsia="es-ES"/>
        </w:rPr>
        <w:t>cenario</w:t>
      </w:r>
      <w:r w:rsidR="00D9049A">
        <w:rPr>
          <w:rFonts w:ascii="Garamond" w:eastAsia="Times New Roman" w:hAnsi="Garamond" w:cs="Arial"/>
          <w:b/>
          <w:sz w:val="24"/>
          <w:szCs w:val="24"/>
          <w:lang w:val="es-ES" w:eastAsia="es-ES"/>
        </w:rPr>
        <w:t>s</w:t>
      </w:r>
      <w:r w:rsidRPr="00C65BDB">
        <w:rPr>
          <w:rFonts w:ascii="Garamond" w:eastAsia="Times New Roman" w:hAnsi="Garamond" w:cs="Arial"/>
          <w:b/>
          <w:sz w:val="24"/>
          <w:szCs w:val="24"/>
          <w:lang w:val="es-ES" w:eastAsia="es-ES"/>
        </w:rPr>
        <w:t xml:space="preserve"> Futuros</w:t>
      </w:r>
    </w:p>
    <w:p w:rsidR="00A61D33" w:rsidRDefault="000A4E40" w:rsidP="00C65BDB">
      <w:pPr>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La gran importancia del</w:t>
      </w:r>
      <w:r w:rsidR="009A1141">
        <w:rPr>
          <w:rFonts w:ascii="Garamond" w:eastAsia="Times New Roman" w:hAnsi="Garamond" w:cs="Arial"/>
          <w:sz w:val="24"/>
          <w:szCs w:val="24"/>
          <w:lang w:val="es-ES" w:eastAsia="es-ES"/>
        </w:rPr>
        <w:t xml:space="preserve">os recursos </w:t>
      </w:r>
      <w:r>
        <w:rPr>
          <w:rFonts w:ascii="Garamond" w:eastAsia="Times New Roman" w:hAnsi="Garamond" w:cs="Arial"/>
          <w:sz w:val="24"/>
          <w:szCs w:val="24"/>
          <w:lang w:val="es-ES" w:eastAsia="es-ES"/>
        </w:rPr>
        <w:t>minero</w:t>
      </w:r>
      <w:r w:rsidR="009A1141">
        <w:rPr>
          <w:rFonts w:ascii="Garamond" w:eastAsia="Times New Roman" w:hAnsi="Garamond" w:cs="Arial"/>
          <w:sz w:val="24"/>
          <w:szCs w:val="24"/>
          <w:lang w:val="es-ES" w:eastAsia="es-ES"/>
        </w:rPr>
        <w:t>s</w:t>
      </w:r>
      <w:r w:rsidR="000F4060">
        <w:rPr>
          <w:rFonts w:ascii="Garamond" w:eastAsia="Times New Roman" w:hAnsi="Garamond" w:cs="Arial"/>
          <w:sz w:val="24"/>
          <w:szCs w:val="24"/>
          <w:lang w:val="es-ES" w:eastAsia="es-ES"/>
        </w:rPr>
        <w:t>, principalmente del cobre en las r</w:t>
      </w:r>
      <w:r w:rsidR="009A1141">
        <w:rPr>
          <w:rFonts w:ascii="Garamond" w:eastAsia="Times New Roman" w:hAnsi="Garamond" w:cs="Arial"/>
          <w:sz w:val="24"/>
          <w:szCs w:val="24"/>
          <w:lang w:val="es-ES" w:eastAsia="es-ES"/>
        </w:rPr>
        <w:t>egiones</w:t>
      </w:r>
      <w:r w:rsidR="000F4060">
        <w:rPr>
          <w:rFonts w:ascii="Garamond" w:eastAsia="Times New Roman" w:hAnsi="Garamond" w:cs="Arial"/>
          <w:sz w:val="24"/>
          <w:szCs w:val="24"/>
          <w:lang w:val="es-ES" w:eastAsia="es-ES"/>
        </w:rPr>
        <w:t xml:space="preserve"> de Tarapacá, Antofagasta, Atacama y Coquimbo</w:t>
      </w:r>
      <w:r>
        <w:rPr>
          <w:rFonts w:ascii="Garamond" w:eastAsia="Times New Roman" w:hAnsi="Garamond" w:cs="Arial"/>
          <w:sz w:val="24"/>
          <w:szCs w:val="24"/>
          <w:lang w:val="es-ES" w:eastAsia="es-ES"/>
        </w:rPr>
        <w:t xml:space="preserve">, determina que </w:t>
      </w:r>
      <w:r w:rsidR="009A1141">
        <w:rPr>
          <w:rFonts w:ascii="Garamond" w:eastAsia="Times New Roman" w:hAnsi="Garamond" w:cs="Arial"/>
          <w:sz w:val="24"/>
          <w:szCs w:val="24"/>
          <w:lang w:val="es-ES" w:eastAsia="es-ES"/>
        </w:rPr>
        <w:t xml:space="preserve">las expectativas sobre el futuro de los </w:t>
      </w:r>
      <w:r w:rsidR="00B700EB">
        <w:rPr>
          <w:rFonts w:ascii="Garamond" w:eastAsia="Times New Roman" w:hAnsi="Garamond" w:cs="Arial"/>
          <w:sz w:val="24"/>
          <w:szCs w:val="24"/>
          <w:lang w:val="es-ES" w:eastAsia="es-ES"/>
        </w:rPr>
        <w:t xml:space="preserve">próximos </w:t>
      </w:r>
      <w:r w:rsidR="009A1141">
        <w:rPr>
          <w:rFonts w:ascii="Garamond" w:eastAsia="Times New Roman" w:hAnsi="Garamond" w:cs="Arial"/>
          <w:sz w:val="24"/>
          <w:szCs w:val="24"/>
          <w:lang w:val="es-ES" w:eastAsia="es-ES"/>
        </w:rPr>
        <w:t>10 a 15 años</w:t>
      </w:r>
      <w:r w:rsidR="00C3711F">
        <w:rPr>
          <w:rFonts w:ascii="Garamond" w:eastAsia="Times New Roman" w:hAnsi="Garamond" w:cs="Arial"/>
          <w:sz w:val="24"/>
          <w:szCs w:val="24"/>
          <w:lang w:val="es-ES" w:eastAsia="es-ES"/>
        </w:rPr>
        <w:t xml:space="preserve">, sobre el crecimiento del PIB y demás variables económicas y sociales </w:t>
      </w:r>
      <w:r>
        <w:rPr>
          <w:rFonts w:ascii="Garamond" w:eastAsia="Times New Roman" w:hAnsi="Garamond" w:cs="Arial"/>
          <w:sz w:val="24"/>
          <w:szCs w:val="24"/>
          <w:lang w:val="es-ES" w:eastAsia="es-ES"/>
        </w:rPr>
        <w:t>depend</w:t>
      </w:r>
      <w:r w:rsidR="009A1141">
        <w:rPr>
          <w:rFonts w:ascii="Garamond" w:eastAsia="Times New Roman" w:hAnsi="Garamond" w:cs="Arial"/>
          <w:sz w:val="24"/>
          <w:szCs w:val="24"/>
          <w:lang w:val="es-ES" w:eastAsia="es-ES"/>
        </w:rPr>
        <w:t xml:space="preserve">an </w:t>
      </w:r>
      <w:r w:rsidR="00C3711F">
        <w:rPr>
          <w:rFonts w:ascii="Garamond" w:eastAsia="Times New Roman" w:hAnsi="Garamond" w:cs="Arial"/>
          <w:sz w:val="24"/>
          <w:szCs w:val="24"/>
          <w:lang w:val="es-ES" w:eastAsia="es-ES"/>
        </w:rPr>
        <w:t xml:space="preserve">fuertemente </w:t>
      </w:r>
      <w:r w:rsidR="009A1141">
        <w:rPr>
          <w:rFonts w:ascii="Garamond" w:eastAsia="Times New Roman" w:hAnsi="Garamond" w:cs="Arial"/>
          <w:sz w:val="24"/>
          <w:szCs w:val="24"/>
          <w:lang w:val="es-ES" w:eastAsia="es-ES"/>
        </w:rPr>
        <w:t>de la demanda y del precio de ese metal en el tiempo.</w:t>
      </w:r>
      <w:r w:rsidR="00B700EB">
        <w:rPr>
          <w:rFonts w:ascii="Garamond" w:eastAsia="Times New Roman" w:hAnsi="Garamond" w:cs="Arial"/>
          <w:sz w:val="24"/>
          <w:szCs w:val="24"/>
          <w:lang w:val="es-ES" w:eastAsia="es-ES"/>
        </w:rPr>
        <w:t xml:space="preserve">Esto implica que situaciones </w:t>
      </w:r>
      <w:r w:rsidR="00A92D2A">
        <w:rPr>
          <w:rFonts w:ascii="Garamond" w:eastAsia="Times New Roman" w:hAnsi="Garamond" w:cs="Arial"/>
          <w:sz w:val="24"/>
          <w:szCs w:val="24"/>
          <w:lang w:val="es-ES" w:eastAsia="es-ES"/>
        </w:rPr>
        <w:t>f</w:t>
      </w:r>
      <w:r w:rsidR="00B700EB">
        <w:rPr>
          <w:rFonts w:ascii="Garamond" w:eastAsia="Times New Roman" w:hAnsi="Garamond" w:cs="Arial"/>
          <w:sz w:val="24"/>
          <w:szCs w:val="24"/>
          <w:lang w:val="es-ES" w:eastAsia="es-ES"/>
        </w:rPr>
        <w:t xml:space="preserve">avorables en dicho producto, </w:t>
      </w:r>
      <w:r w:rsidR="00171A3F">
        <w:rPr>
          <w:rFonts w:ascii="Garamond" w:eastAsia="Times New Roman" w:hAnsi="Garamond" w:cs="Arial"/>
          <w:sz w:val="24"/>
          <w:szCs w:val="24"/>
          <w:lang w:val="es-ES" w:eastAsia="es-ES"/>
        </w:rPr>
        <w:t>causan</w:t>
      </w:r>
      <w:r w:rsidR="00A92D2A">
        <w:rPr>
          <w:rFonts w:ascii="Garamond" w:eastAsia="Times New Roman" w:hAnsi="Garamond" w:cs="Arial"/>
          <w:sz w:val="24"/>
          <w:szCs w:val="24"/>
          <w:lang w:val="es-ES" w:eastAsia="es-ES"/>
        </w:rPr>
        <w:t xml:space="preserve"> efectos positivos e</w:t>
      </w:r>
      <w:r w:rsidR="00B700EB">
        <w:rPr>
          <w:rFonts w:ascii="Garamond" w:eastAsia="Times New Roman" w:hAnsi="Garamond" w:cs="Arial"/>
          <w:sz w:val="24"/>
          <w:szCs w:val="24"/>
          <w:lang w:val="es-ES" w:eastAsia="es-ES"/>
        </w:rPr>
        <w:t xml:space="preserve">n </w:t>
      </w:r>
      <w:r w:rsidR="00A92D2A">
        <w:rPr>
          <w:rFonts w:ascii="Garamond" w:eastAsia="Times New Roman" w:hAnsi="Garamond" w:cs="Arial"/>
          <w:sz w:val="24"/>
          <w:szCs w:val="24"/>
          <w:lang w:val="es-ES" w:eastAsia="es-ES"/>
        </w:rPr>
        <w:t>toda la economía</w:t>
      </w:r>
      <w:r w:rsidR="00A61D33">
        <w:rPr>
          <w:rFonts w:ascii="Garamond" w:eastAsia="Times New Roman" w:hAnsi="Garamond" w:cs="Arial"/>
          <w:sz w:val="24"/>
          <w:szCs w:val="24"/>
          <w:lang w:val="es-ES" w:eastAsia="es-ES"/>
        </w:rPr>
        <w:t xml:space="preserve"> regional</w:t>
      </w:r>
      <w:r w:rsidR="00A92D2A">
        <w:rPr>
          <w:rFonts w:ascii="Garamond" w:eastAsia="Times New Roman" w:hAnsi="Garamond" w:cs="Arial"/>
          <w:sz w:val="24"/>
          <w:szCs w:val="24"/>
          <w:lang w:val="es-ES" w:eastAsia="es-ES"/>
        </w:rPr>
        <w:t xml:space="preserve">, </w:t>
      </w:r>
      <w:r w:rsidR="004C42C9">
        <w:rPr>
          <w:rFonts w:ascii="Garamond" w:eastAsia="Times New Roman" w:hAnsi="Garamond" w:cs="Arial"/>
          <w:sz w:val="24"/>
          <w:szCs w:val="24"/>
          <w:lang w:val="es-ES" w:eastAsia="es-ES"/>
        </w:rPr>
        <w:t>a través de</w:t>
      </w:r>
      <w:r w:rsidR="00B700EB">
        <w:rPr>
          <w:rFonts w:ascii="Garamond" w:eastAsia="Times New Roman" w:hAnsi="Garamond" w:cs="Arial"/>
          <w:sz w:val="24"/>
          <w:szCs w:val="24"/>
          <w:lang w:val="es-ES" w:eastAsia="es-ES"/>
        </w:rPr>
        <w:t xml:space="preserve"> la </w:t>
      </w:r>
      <w:r w:rsidR="00A92D2A">
        <w:rPr>
          <w:rFonts w:ascii="Garamond" w:eastAsia="Times New Roman" w:hAnsi="Garamond" w:cs="Arial"/>
          <w:sz w:val="24"/>
          <w:szCs w:val="24"/>
          <w:lang w:val="es-ES" w:eastAsia="es-ES"/>
        </w:rPr>
        <w:t xml:space="preserve">minería, la </w:t>
      </w:r>
      <w:r w:rsidR="00B700EB">
        <w:rPr>
          <w:rFonts w:ascii="Garamond" w:eastAsia="Times New Roman" w:hAnsi="Garamond" w:cs="Arial"/>
          <w:sz w:val="24"/>
          <w:szCs w:val="24"/>
          <w:lang w:val="es-ES" w:eastAsia="es-ES"/>
        </w:rPr>
        <w:t xml:space="preserve">construcción, y otros sectores que están íntimamente </w:t>
      </w:r>
      <w:r w:rsidR="00AE1A14">
        <w:rPr>
          <w:rFonts w:ascii="Garamond" w:eastAsia="Times New Roman" w:hAnsi="Garamond" w:cs="Arial"/>
          <w:sz w:val="24"/>
          <w:szCs w:val="24"/>
          <w:lang w:val="es-ES" w:eastAsia="es-ES"/>
        </w:rPr>
        <w:t xml:space="preserve">dependientes, y consecuentemente en el empleo. </w:t>
      </w:r>
    </w:p>
    <w:p w:rsidR="00A61D33" w:rsidRDefault="00A61D33" w:rsidP="00C65BDB">
      <w:pPr>
        <w:spacing w:after="0" w:line="288" w:lineRule="auto"/>
        <w:jc w:val="both"/>
        <w:rPr>
          <w:rFonts w:ascii="Garamond" w:eastAsia="Times New Roman" w:hAnsi="Garamond" w:cs="Arial"/>
          <w:sz w:val="24"/>
          <w:szCs w:val="24"/>
          <w:lang w:val="es-ES" w:eastAsia="es-ES"/>
        </w:rPr>
      </w:pPr>
    </w:p>
    <w:p w:rsidR="00B700EB" w:rsidRDefault="00AE1A14" w:rsidP="00C65BDB">
      <w:pPr>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La situación inversa, tiene efectos </w:t>
      </w:r>
      <w:r w:rsidR="00A92D2A">
        <w:rPr>
          <w:rFonts w:ascii="Garamond" w:eastAsia="Times New Roman" w:hAnsi="Garamond" w:cs="Arial"/>
          <w:sz w:val="24"/>
          <w:szCs w:val="24"/>
          <w:lang w:val="es-ES" w:eastAsia="es-ES"/>
        </w:rPr>
        <w:t>de magnitud negativa en esas variables</w:t>
      </w:r>
      <w:r w:rsidR="004C42C9">
        <w:rPr>
          <w:rFonts w:ascii="Garamond" w:eastAsia="Times New Roman" w:hAnsi="Garamond" w:cs="Arial"/>
          <w:sz w:val="24"/>
          <w:szCs w:val="24"/>
          <w:lang w:val="es-ES" w:eastAsia="es-ES"/>
        </w:rPr>
        <w:t>, con niveles de crecimiento por debajo del promedio del país</w:t>
      </w:r>
      <w:r w:rsidR="00171A3F">
        <w:rPr>
          <w:rFonts w:ascii="Garamond" w:eastAsia="Times New Roman" w:hAnsi="Garamond" w:cs="Arial"/>
          <w:sz w:val="24"/>
          <w:szCs w:val="24"/>
          <w:lang w:val="es-ES" w:eastAsia="es-ES"/>
        </w:rPr>
        <w:t xml:space="preserve">, </w:t>
      </w:r>
      <w:r w:rsidR="00A61D33">
        <w:rPr>
          <w:rFonts w:ascii="Garamond" w:eastAsia="Times New Roman" w:hAnsi="Garamond" w:cs="Arial"/>
          <w:sz w:val="24"/>
          <w:szCs w:val="24"/>
          <w:lang w:val="es-ES" w:eastAsia="es-ES"/>
        </w:rPr>
        <w:t>al igual que la inversió</w:t>
      </w:r>
      <w:r w:rsidR="00171A3F">
        <w:rPr>
          <w:rFonts w:ascii="Garamond" w:eastAsia="Times New Roman" w:hAnsi="Garamond" w:cs="Arial"/>
          <w:sz w:val="24"/>
          <w:szCs w:val="24"/>
          <w:lang w:val="es-ES" w:eastAsia="es-ES"/>
        </w:rPr>
        <w:t>n pública per capita</w:t>
      </w:r>
      <w:r w:rsidR="00A61D33">
        <w:rPr>
          <w:rFonts w:ascii="Garamond" w:eastAsia="Times New Roman" w:hAnsi="Garamond" w:cs="Arial"/>
          <w:sz w:val="24"/>
          <w:szCs w:val="24"/>
          <w:lang w:val="es-ES" w:eastAsia="es-ES"/>
        </w:rPr>
        <w:t xml:space="preserve">, </w:t>
      </w:r>
      <w:r w:rsidR="00171A3F">
        <w:rPr>
          <w:rFonts w:ascii="Garamond" w:eastAsia="Times New Roman" w:hAnsi="Garamond" w:cs="Arial"/>
          <w:sz w:val="24"/>
          <w:szCs w:val="24"/>
          <w:lang w:val="es-ES" w:eastAsia="es-ES"/>
        </w:rPr>
        <w:t>por el decaimiento de las economías locales y los menores recursos presupuestarios disponibles a nivel del país. También la inversión privada se vería afectada negativamente por el menor impulso que generaría la actividad minera.</w:t>
      </w:r>
    </w:p>
    <w:p w:rsidR="00A92D2A" w:rsidRDefault="00A92D2A" w:rsidP="00C65BDB">
      <w:pPr>
        <w:spacing w:after="0" w:line="288" w:lineRule="auto"/>
        <w:jc w:val="both"/>
        <w:rPr>
          <w:rFonts w:ascii="Garamond" w:eastAsia="Times New Roman" w:hAnsi="Garamond" w:cs="Arial"/>
          <w:sz w:val="24"/>
          <w:szCs w:val="24"/>
          <w:lang w:val="es-ES" w:eastAsia="es-ES"/>
        </w:rPr>
      </w:pPr>
    </w:p>
    <w:p w:rsidR="00C60299" w:rsidRDefault="00A92D2A" w:rsidP="00C65BDB">
      <w:pPr>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Por ese motivo la </w:t>
      </w:r>
      <w:r w:rsidR="00D9049A">
        <w:rPr>
          <w:rFonts w:ascii="Garamond" w:eastAsia="Times New Roman" w:hAnsi="Garamond" w:cs="Arial"/>
          <w:sz w:val="24"/>
          <w:szCs w:val="24"/>
          <w:lang w:val="es-ES" w:eastAsia="es-ES"/>
        </w:rPr>
        <w:t xml:space="preserve">alta </w:t>
      </w:r>
      <w:r>
        <w:rPr>
          <w:rFonts w:ascii="Garamond" w:eastAsia="Times New Roman" w:hAnsi="Garamond" w:cs="Arial"/>
          <w:sz w:val="24"/>
          <w:szCs w:val="24"/>
          <w:lang w:val="es-ES" w:eastAsia="es-ES"/>
        </w:rPr>
        <w:t xml:space="preserve">dependencia de </w:t>
      </w:r>
      <w:r w:rsidR="000500C3">
        <w:rPr>
          <w:rFonts w:ascii="Garamond" w:eastAsia="Times New Roman" w:hAnsi="Garamond" w:cs="Arial"/>
          <w:sz w:val="24"/>
          <w:szCs w:val="24"/>
          <w:lang w:val="es-ES" w:eastAsia="es-ES"/>
        </w:rPr>
        <w:t>la minería tiene efectos de</w:t>
      </w:r>
      <w:r w:rsidR="004C42C9">
        <w:rPr>
          <w:rFonts w:ascii="Garamond" w:eastAsia="Times New Roman" w:hAnsi="Garamond" w:cs="Arial"/>
          <w:sz w:val="24"/>
          <w:szCs w:val="24"/>
          <w:lang w:val="es-ES" w:eastAsia="es-ES"/>
        </w:rPr>
        <w:t xml:space="preserve"> gran </w:t>
      </w:r>
      <w:r w:rsidR="000500C3">
        <w:rPr>
          <w:rFonts w:ascii="Garamond" w:eastAsia="Times New Roman" w:hAnsi="Garamond" w:cs="Arial"/>
          <w:sz w:val="24"/>
          <w:szCs w:val="24"/>
          <w:lang w:val="es-ES" w:eastAsia="es-ES"/>
        </w:rPr>
        <w:t xml:space="preserve">vulnerabilidad para las economías regionales que aconsejarían una mayor diversificación en su matriz económica </w:t>
      </w:r>
      <w:r w:rsidR="004C42C9">
        <w:rPr>
          <w:rFonts w:ascii="Garamond" w:eastAsia="Times New Roman" w:hAnsi="Garamond" w:cs="Arial"/>
          <w:sz w:val="24"/>
          <w:szCs w:val="24"/>
          <w:lang w:val="es-ES" w:eastAsia="es-ES"/>
        </w:rPr>
        <w:t xml:space="preserve">- </w:t>
      </w:r>
      <w:r w:rsidR="000500C3">
        <w:rPr>
          <w:rFonts w:ascii="Garamond" w:eastAsia="Times New Roman" w:hAnsi="Garamond" w:cs="Arial"/>
          <w:sz w:val="24"/>
          <w:szCs w:val="24"/>
          <w:lang w:val="es-ES" w:eastAsia="es-ES"/>
        </w:rPr>
        <w:t xml:space="preserve">productiva y </w:t>
      </w:r>
      <w:r w:rsidR="004C42C9">
        <w:rPr>
          <w:rFonts w:ascii="Garamond" w:eastAsia="Times New Roman" w:hAnsi="Garamond" w:cs="Arial"/>
          <w:sz w:val="24"/>
          <w:szCs w:val="24"/>
          <w:lang w:val="es-ES" w:eastAsia="es-ES"/>
        </w:rPr>
        <w:t xml:space="preserve">de </w:t>
      </w:r>
      <w:r w:rsidR="000500C3">
        <w:rPr>
          <w:rFonts w:ascii="Garamond" w:eastAsia="Times New Roman" w:hAnsi="Garamond" w:cs="Arial"/>
          <w:sz w:val="24"/>
          <w:szCs w:val="24"/>
          <w:lang w:val="es-ES" w:eastAsia="es-ES"/>
        </w:rPr>
        <w:t xml:space="preserve">servicios. </w:t>
      </w:r>
      <w:r w:rsidR="004C42C9">
        <w:rPr>
          <w:rFonts w:ascii="Garamond" w:eastAsia="Times New Roman" w:hAnsi="Garamond" w:cs="Arial"/>
          <w:sz w:val="24"/>
          <w:szCs w:val="24"/>
          <w:lang w:val="es-ES" w:eastAsia="es-ES"/>
        </w:rPr>
        <w:t xml:space="preserve"> Un</w:t>
      </w:r>
      <w:r w:rsidR="008A7014">
        <w:rPr>
          <w:rFonts w:ascii="Garamond" w:eastAsia="Times New Roman" w:hAnsi="Garamond" w:cs="Arial"/>
          <w:sz w:val="24"/>
          <w:szCs w:val="24"/>
          <w:lang w:val="es-ES" w:eastAsia="es-ES"/>
        </w:rPr>
        <w:t xml:space="preserve"> ejemplo de respuesta ha sido </w:t>
      </w:r>
      <w:r w:rsidR="00C3711F">
        <w:rPr>
          <w:rFonts w:ascii="Garamond" w:eastAsia="Times New Roman" w:hAnsi="Garamond" w:cs="Arial"/>
          <w:sz w:val="24"/>
          <w:szCs w:val="24"/>
          <w:lang w:val="es-ES" w:eastAsia="es-ES"/>
        </w:rPr>
        <w:t>la integración con los países del Centro Oeste Sudamericano</w:t>
      </w:r>
      <w:r w:rsidR="004C42C9">
        <w:rPr>
          <w:rFonts w:ascii="Garamond" w:eastAsia="Times New Roman" w:hAnsi="Garamond" w:cs="Arial"/>
          <w:sz w:val="24"/>
          <w:szCs w:val="24"/>
          <w:lang w:val="es-ES" w:eastAsia="es-ES"/>
        </w:rPr>
        <w:t>,</w:t>
      </w:r>
      <w:r w:rsidR="00C3711F">
        <w:rPr>
          <w:rStyle w:val="Refdenotaalpie"/>
          <w:rFonts w:ascii="Garamond" w:eastAsia="Times New Roman" w:hAnsi="Garamond" w:cs="Arial"/>
          <w:sz w:val="24"/>
          <w:szCs w:val="24"/>
          <w:lang w:val="es-ES" w:eastAsia="es-ES"/>
        </w:rPr>
        <w:footnoteReference w:id="49"/>
      </w:r>
      <w:r w:rsidR="004C42C9">
        <w:rPr>
          <w:rFonts w:ascii="Garamond" w:eastAsia="Times New Roman" w:hAnsi="Garamond" w:cs="Arial"/>
          <w:sz w:val="24"/>
          <w:szCs w:val="24"/>
          <w:lang w:val="es-ES" w:eastAsia="es-ES"/>
        </w:rPr>
        <w:t xml:space="preserve">en donde </w:t>
      </w:r>
      <w:r w:rsidR="00B1450A">
        <w:rPr>
          <w:rFonts w:ascii="Garamond" w:eastAsia="Times New Roman" w:hAnsi="Garamond" w:cs="Arial"/>
          <w:sz w:val="24"/>
          <w:szCs w:val="24"/>
          <w:lang w:val="es-ES" w:eastAsia="es-ES"/>
        </w:rPr>
        <w:t xml:space="preserve">se aprecia un potencial relevante </w:t>
      </w:r>
      <w:r w:rsidR="004C42C9">
        <w:rPr>
          <w:rFonts w:ascii="Garamond" w:eastAsia="Times New Roman" w:hAnsi="Garamond" w:cs="Arial"/>
          <w:sz w:val="24"/>
          <w:szCs w:val="24"/>
          <w:lang w:val="es-ES" w:eastAsia="es-ES"/>
        </w:rPr>
        <w:t xml:space="preserve">de desarrollo </w:t>
      </w:r>
      <w:r w:rsidR="00A61D33">
        <w:rPr>
          <w:rFonts w:ascii="Garamond" w:eastAsia="Times New Roman" w:hAnsi="Garamond" w:cs="Arial"/>
          <w:sz w:val="24"/>
          <w:szCs w:val="24"/>
          <w:lang w:val="es-ES" w:eastAsia="es-ES"/>
        </w:rPr>
        <w:t xml:space="preserve">que puede influir fuertemente </w:t>
      </w:r>
      <w:r w:rsidR="00B1450A">
        <w:rPr>
          <w:rFonts w:ascii="Garamond" w:eastAsia="Times New Roman" w:hAnsi="Garamond" w:cs="Arial"/>
          <w:sz w:val="24"/>
          <w:szCs w:val="24"/>
          <w:lang w:val="es-ES" w:eastAsia="es-ES"/>
        </w:rPr>
        <w:t>en el aumento de las exportaciones y la inversión pública en infraestructura</w:t>
      </w:r>
      <w:r w:rsidR="00543C19">
        <w:rPr>
          <w:rFonts w:ascii="Garamond" w:eastAsia="Times New Roman" w:hAnsi="Garamond" w:cs="Arial"/>
          <w:sz w:val="24"/>
          <w:szCs w:val="24"/>
          <w:lang w:val="es-ES" w:eastAsia="es-ES"/>
        </w:rPr>
        <w:t xml:space="preserve">binacional </w:t>
      </w:r>
      <w:r w:rsidR="00687B1C">
        <w:rPr>
          <w:rFonts w:ascii="Garamond" w:eastAsia="Times New Roman" w:hAnsi="Garamond" w:cs="Arial"/>
          <w:sz w:val="24"/>
          <w:szCs w:val="24"/>
          <w:lang w:val="es-ES" w:eastAsia="es-ES"/>
        </w:rPr>
        <w:t>relacionada con puertos y carreteras</w:t>
      </w:r>
      <w:r w:rsidR="004C42C9">
        <w:rPr>
          <w:rFonts w:ascii="Garamond" w:eastAsia="Times New Roman" w:hAnsi="Garamond" w:cs="Arial"/>
          <w:sz w:val="24"/>
          <w:szCs w:val="24"/>
          <w:lang w:val="es-ES" w:eastAsia="es-ES"/>
        </w:rPr>
        <w:t>; y de esa forma irrigar</w:t>
      </w:r>
      <w:r w:rsidR="00E35AA5">
        <w:rPr>
          <w:rFonts w:ascii="Garamond" w:eastAsia="Times New Roman" w:hAnsi="Garamond" w:cs="Arial"/>
          <w:sz w:val="24"/>
          <w:szCs w:val="24"/>
          <w:lang w:val="es-ES" w:eastAsia="es-ES"/>
        </w:rPr>
        <w:t xml:space="preserve"> al resto de la economía.</w:t>
      </w:r>
    </w:p>
    <w:p w:rsidR="00C60299" w:rsidRDefault="00C60299" w:rsidP="00C65BDB">
      <w:pPr>
        <w:spacing w:after="0" w:line="288" w:lineRule="auto"/>
        <w:jc w:val="both"/>
        <w:rPr>
          <w:rFonts w:ascii="Garamond" w:eastAsia="Times New Roman" w:hAnsi="Garamond" w:cs="Arial"/>
          <w:sz w:val="24"/>
          <w:szCs w:val="24"/>
          <w:lang w:val="es-ES" w:eastAsia="es-ES"/>
        </w:rPr>
      </w:pPr>
    </w:p>
    <w:p w:rsidR="00F776F7" w:rsidRDefault="000F4060" w:rsidP="00F776F7">
      <w:pPr>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Existen </w:t>
      </w:r>
      <w:r w:rsidR="00A61D33" w:rsidRPr="00D7557F">
        <w:rPr>
          <w:rFonts w:ascii="Garamond" w:eastAsia="Times New Roman" w:hAnsi="Garamond" w:cs="Arial"/>
          <w:sz w:val="24"/>
          <w:szCs w:val="24"/>
          <w:lang w:val="es-ES" w:eastAsia="es-ES"/>
        </w:rPr>
        <w:t xml:space="preserve">perspectivas para las regiones mineras </w:t>
      </w:r>
      <w:r w:rsidR="00785AC1">
        <w:rPr>
          <w:rFonts w:ascii="Garamond" w:eastAsia="Times New Roman" w:hAnsi="Garamond" w:cs="Arial"/>
          <w:sz w:val="24"/>
          <w:szCs w:val="24"/>
          <w:lang w:val="es-ES" w:eastAsia="es-ES"/>
        </w:rPr>
        <w:t xml:space="preserve">en los próximos 10 a 15 años </w:t>
      </w:r>
      <w:r>
        <w:rPr>
          <w:rFonts w:ascii="Garamond" w:eastAsia="Times New Roman" w:hAnsi="Garamond" w:cs="Arial"/>
          <w:sz w:val="24"/>
          <w:szCs w:val="24"/>
          <w:lang w:val="es-ES" w:eastAsia="es-ES"/>
        </w:rPr>
        <w:t xml:space="preserve">que </w:t>
      </w:r>
      <w:r w:rsidR="00785AC1">
        <w:rPr>
          <w:rFonts w:ascii="Garamond" w:eastAsia="Times New Roman" w:hAnsi="Garamond" w:cs="Arial"/>
          <w:sz w:val="24"/>
          <w:szCs w:val="24"/>
          <w:lang w:val="es-ES" w:eastAsia="es-ES"/>
        </w:rPr>
        <w:t xml:space="preserve">se obtienen del </w:t>
      </w:r>
      <w:r w:rsidR="00A61D33" w:rsidRPr="00D7557F">
        <w:rPr>
          <w:rFonts w:ascii="Garamond" w:eastAsia="Times New Roman" w:hAnsi="Garamond" w:cs="Arial"/>
          <w:sz w:val="24"/>
          <w:szCs w:val="24"/>
          <w:lang w:val="es-ES" w:eastAsia="es-ES"/>
        </w:rPr>
        <w:t xml:space="preserve">consenso </w:t>
      </w:r>
      <w:r w:rsidR="00785AC1">
        <w:rPr>
          <w:rFonts w:ascii="Garamond" w:eastAsia="Times New Roman" w:hAnsi="Garamond" w:cs="Arial"/>
          <w:sz w:val="24"/>
          <w:szCs w:val="24"/>
          <w:lang w:val="es-ES" w:eastAsia="es-ES"/>
        </w:rPr>
        <w:t xml:space="preserve">de un panel de </w:t>
      </w:r>
      <w:r w:rsidR="00A61D33" w:rsidRPr="00D7557F">
        <w:rPr>
          <w:rFonts w:ascii="Garamond" w:eastAsia="Times New Roman" w:hAnsi="Garamond" w:cs="Arial"/>
          <w:sz w:val="24"/>
          <w:szCs w:val="24"/>
          <w:lang w:val="es-ES" w:eastAsia="es-ES"/>
        </w:rPr>
        <w:t>expertos locales</w:t>
      </w:r>
      <w:r w:rsidR="00785AC1">
        <w:rPr>
          <w:rFonts w:ascii="Garamond" w:eastAsia="Times New Roman" w:hAnsi="Garamond" w:cs="Arial"/>
          <w:sz w:val="24"/>
          <w:szCs w:val="24"/>
          <w:lang w:val="es-ES" w:eastAsia="es-ES"/>
        </w:rPr>
        <w:t xml:space="preserve"> que señalan distintos </w:t>
      </w:r>
      <w:r w:rsidR="00785AC1" w:rsidRPr="00D7557F">
        <w:rPr>
          <w:rFonts w:ascii="Garamond" w:eastAsia="Times New Roman" w:hAnsi="Garamond" w:cs="Arial"/>
          <w:sz w:val="24"/>
          <w:szCs w:val="24"/>
          <w:lang w:val="es-ES" w:eastAsia="es-ES"/>
        </w:rPr>
        <w:t>escenario</w:t>
      </w:r>
      <w:r w:rsidR="00785AC1">
        <w:rPr>
          <w:rFonts w:ascii="Garamond" w:eastAsia="Times New Roman" w:hAnsi="Garamond" w:cs="Arial"/>
          <w:sz w:val="24"/>
          <w:szCs w:val="24"/>
          <w:lang w:val="es-ES" w:eastAsia="es-ES"/>
        </w:rPr>
        <w:t>s</w:t>
      </w:r>
      <w:r w:rsidR="00D9049A">
        <w:rPr>
          <w:rFonts w:ascii="Garamond" w:eastAsia="Times New Roman" w:hAnsi="Garamond" w:cs="Arial"/>
          <w:sz w:val="24"/>
          <w:szCs w:val="24"/>
          <w:lang w:val="es-ES" w:eastAsia="es-ES"/>
        </w:rPr>
        <w:t>.</w:t>
      </w:r>
      <w:r w:rsidR="00785AC1" w:rsidRPr="00D7557F">
        <w:rPr>
          <w:rStyle w:val="Refdenotaalpie"/>
          <w:rFonts w:ascii="Garamond" w:eastAsia="Times New Roman" w:hAnsi="Garamond" w:cs="Arial"/>
          <w:sz w:val="24"/>
          <w:szCs w:val="24"/>
          <w:lang w:val="es-ES" w:eastAsia="es-ES"/>
        </w:rPr>
        <w:footnoteReference w:id="50"/>
      </w:r>
      <w:r w:rsidR="00D7557F">
        <w:rPr>
          <w:rFonts w:ascii="Garamond" w:eastAsia="Times New Roman" w:hAnsi="Garamond" w:cs="Arial"/>
          <w:sz w:val="24"/>
          <w:szCs w:val="24"/>
          <w:lang w:val="es-ES" w:eastAsia="es-ES"/>
        </w:rPr>
        <w:t xml:space="preserve">Para </w:t>
      </w:r>
      <w:r w:rsidR="00C60299">
        <w:rPr>
          <w:rFonts w:ascii="Garamond" w:eastAsia="Times New Roman" w:hAnsi="Garamond" w:cs="Arial"/>
          <w:sz w:val="24"/>
          <w:szCs w:val="24"/>
          <w:lang w:val="es-ES" w:eastAsia="es-ES"/>
        </w:rPr>
        <w:t>Tarapacá</w:t>
      </w:r>
      <w:r w:rsidR="00D7557F">
        <w:rPr>
          <w:rFonts w:ascii="Garamond" w:eastAsia="Times New Roman" w:hAnsi="Garamond" w:cs="Arial"/>
          <w:sz w:val="24"/>
          <w:szCs w:val="24"/>
          <w:lang w:val="es-ES" w:eastAsia="es-ES"/>
        </w:rPr>
        <w:t>, se vislumbra que l</w:t>
      </w:r>
      <w:r w:rsidR="00C60299">
        <w:rPr>
          <w:rFonts w:ascii="Garamond" w:eastAsia="Times New Roman" w:hAnsi="Garamond" w:cs="Arial"/>
          <w:sz w:val="24"/>
          <w:szCs w:val="24"/>
          <w:lang w:val="es-ES" w:eastAsia="es-ES"/>
        </w:rPr>
        <w:t>a escases relativa del agua se presenta como un tema fundamental para el futuro, y por lo mismo, se aprecia una mayor disponibilidad de ese recurso, que surgen de los cambios en sus usos en la agricultura</w:t>
      </w:r>
      <w:r w:rsidR="00C3711F">
        <w:rPr>
          <w:rFonts w:ascii="Garamond" w:eastAsia="Times New Roman" w:hAnsi="Garamond" w:cs="Arial"/>
          <w:sz w:val="24"/>
          <w:szCs w:val="24"/>
          <w:lang w:val="es-ES" w:eastAsia="es-ES"/>
        </w:rPr>
        <w:t>, desde agua potable a la utilización de vertientes, y un mayor desarrollo de plantas desali</w:t>
      </w:r>
      <w:r w:rsidR="00F776F7">
        <w:rPr>
          <w:rFonts w:ascii="Garamond" w:eastAsia="Times New Roman" w:hAnsi="Garamond" w:cs="Arial"/>
          <w:sz w:val="24"/>
          <w:szCs w:val="24"/>
          <w:lang w:val="es-ES" w:eastAsia="es-ES"/>
        </w:rPr>
        <w:t xml:space="preserve">nizadoras y de aguas servidas. Con relación a la </w:t>
      </w:r>
      <w:r w:rsidR="009310DB">
        <w:rPr>
          <w:rFonts w:ascii="Garamond" w:eastAsia="Times New Roman" w:hAnsi="Garamond" w:cs="Arial"/>
          <w:sz w:val="24"/>
          <w:szCs w:val="24"/>
          <w:lang w:val="es-ES" w:eastAsia="es-ES"/>
        </w:rPr>
        <w:t>productividad es</w:t>
      </w:r>
      <w:r w:rsidR="00543C19">
        <w:rPr>
          <w:rFonts w:ascii="Garamond" w:eastAsia="Times New Roman" w:hAnsi="Garamond" w:cs="Arial"/>
          <w:sz w:val="24"/>
          <w:szCs w:val="24"/>
          <w:lang w:val="es-ES" w:eastAsia="es-ES"/>
        </w:rPr>
        <w:t xml:space="preserve"> liderada </w:t>
      </w:r>
      <w:r w:rsidR="009310DB">
        <w:rPr>
          <w:rFonts w:ascii="Garamond" w:eastAsia="Times New Roman" w:hAnsi="Garamond" w:cs="Arial"/>
          <w:sz w:val="24"/>
          <w:szCs w:val="24"/>
          <w:lang w:val="es-ES" w:eastAsia="es-ES"/>
        </w:rPr>
        <w:t>por la minería, la construcción</w:t>
      </w:r>
      <w:r w:rsidR="00543C19">
        <w:rPr>
          <w:rFonts w:ascii="Garamond" w:eastAsia="Times New Roman" w:hAnsi="Garamond" w:cs="Arial"/>
          <w:sz w:val="24"/>
          <w:szCs w:val="24"/>
          <w:lang w:val="es-ES" w:eastAsia="es-ES"/>
        </w:rPr>
        <w:t>,</w:t>
      </w:r>
      <w:r w:rsidR="009310DB">
        <w:rPr>
          <w:rFonts w:ascii="Garamond" w:eastAsia="Times New Roman" w:hAnsi="Garamond" w:cs="Arial"/>
          <w:sz w:val="24"/>
          <w:szCs w:val="24"/>
          <w:lang w:val="es-ES" w:eastAsia="es-ES"/>
        </w:rPr>
        <w:t xml:space="preserve"> la pesca</w:t>
      </w:r>
      <w:r w:rsidR="00543C19">
        <w:rPr>
          <w:rFonts w:ascii="Garamond" w:eastAsia="Times New Roman" w:hAnsi="Garamond" w:cs="Arial"/>
          <w:sz w:val="24"/>
          <w:szCs w:val="24"/>
          <w:lang w:val="es-ES" w:eastAsia="es-ES"/>
        </w:rPr>
        <w:t>, el comercio, restaurantes y hoteles</w:t>
      </w:r>
      <w:r w:rsidR="00785AC1">
        <w:rPr>
          <w:rFonts w:ascii="Garamond" w:eastAsia="Times New Roman" w:hAnsi="Garamond" w:cs="Arial"/>
          <w:sz w:val="24"/>
          <w:szCs w:val="24"/>
          <w:lang w:val="es-ES" w:eastAsia="es-ES"/>
        </w:rPr>
        <w:t>; e</w:t>
      </w:r>
      <w:r w:rsidR="00F776F7">
        <w:rPr>
          <w:rFonts w:ascii="Garamond" w:eastAsia="Times New Roman" w:hAnsi="Garamond" w:cs="Arial"/>
          <w:sz w:val="24"/>
          <w:szCs w:val="24"/>
          <w:lang w:val="es-ES" w:eastAsia="es-ES"/>
        </w:rPr>
        <w:t>n tanto, l</w:t>
      </w:r>
      <w:r w:rsidR="00C868FC">
        <w:rPr>
          <w:rFonts w:ascii="Garamond" w:eastAsia="Times New Roman" w:hAnsi="Garamond" w:cs="Arial"/>
          <w:sz w:val="24"/>
          <w:szCs w:val="24"/>
          <w:lang w:val="es-ES" w:eastAsia="es-ES"/>
        </w:rPr>
        <w:t>a ocupación se mantiene en sectores primarios</w:t>
      </w:r>
      <w:r w:rsidR="00F776F7">
        <w:rPr>
          <w:rFonts w:ascii="Garamond" w:eastAsia="Times New Roman" w:hAnsi="Garamond" w:cs="Arial"/>
          <w:sz w:val="24"/>
          <w:szCs w:val="24"/>
          <w:lang w:val="es-ES" w:eastAsia="es-ES"/>
        </w:rPr>
        <w:t>. Con respecto a la concentración de población, s</w:t>
      </w:r>
      <w:r w:rsidR="009310DB">
        <w:rPr>
          <w:rFonts w:ascii="Garamond" w:eastAsia="Times New Roman" w:hAnsi="Garamond" w:cs="Arial"/>
          <w:sz w:val="24"/>
          <w:szCs w:val="24"/>
          <w:lang w:val="es-ES" w:eastAsia="es-ES"/>
        </w:rPr>
        <w:t xml:space="preserve">e </w:t>
      </w:r>
      <w:r w:rsidR="00785AC1">
        <w:rPr>
          <w:rFonts w:ascii="Garamond" w:eastAsia="Times New Roman" w:hAnsi="Garamond" w:cs="Arial"/>
          <w:sz w:val="24"/>
          <w:szCs w:val="24"/>
          <w:lang w:val="es-ES" w:eastAsia="es-ES"/>
        </w:rPr>
        <w:t xml:space="preserve">localiza </w:t>
      </w:r>
      <w:r w:rsidR="009310DB">
        <w:rPr>
          <w:rFonts w:ascii="Garamond" w:eastAsia="Times New Roman" w:hAnsi="Garamond" w:cs="Arial"/>
          <w:sz w:val="24"/>
          <w:szCs w:val="24"/>
          <w:lang w:val="es-ES" w:eastAsia="es-ES"/>
        </w:rPr>
        <w:t>en ciudades como Iquique y Alto Hospicio, con un 90%</w:t>
      </w:r>
      <w:r w:rsidR="00F776F7">
        <w:rPr>
          <w:rFonts w:ascii="Garamond" w:eastAsia="Times New Roman" w:hAnsi="Garamond" w:cs="Arial"/>
          <w:sz w:val="24"/>
          <w:szCs w:val="24"/>
          <w:lang w:val="es-ES" w:eastAsia="es-ES"/>
        </w:rPr>
        <w:t>,</w:t>
      </w:r>
      <w:r w:rsidR="009310DB">
        <w:rPr>
          <w:rFonts w:ascii="Garamond" w:eastAsia="Times New Roman" w:hAnsi="Garamond" w:cs="Arial"/>
          <w:sz w:val="24"/>
          <w:szCs w:val="24"/>
          <w:lang w:val="es-ES" w:eastAsia="es-ES"/>
        </w:rPr>
        <w:t xml:space="preserve"> que significan </w:t>
      </w:r>
      <w:r w:rsidR="00785AC1">
        <w:rPr>
          <w:rFonts w:ascii="Garamond" w:eastAsia="Times New Roman" w:hAnsi="Garamond" w:cs="Arial"/>
          <w:sz w:val="24"/>
          <w:szCs w:val="24"/>
          <w:lang w:val="es-ES" w:eastAsia="es-ES"/>
        </w:rPr>
        <w:t xml:space="preserve">el surgimiento de nuevas </w:t>
      </w:r>
      <w:r w:rsidR="009310DB">
        <w:rPr>
          <w:rFonts w:ascii="Garamond" w:eastAsia="Times New Roman" w:hAnsi="Garamond" w:cs="Arial"/>
          <w:sz w:val="24"/>
          <w:szCs w:val="24"/>
          <w:lang w:val="es-ES" w:eastAsia="es-ES"/>
        </w:rPr>
        <w:t>viviendas sociales</w:t>
      </w:r>
      <w:r w:rsidR="00F776F7">
        <w:rPr>
          <w:rFonts w:ascii="Garamond" w:eastAsia="Times New Roman" w:hAnsi="Garamond" w:cs="Arial"/>
          <w:sz w:val="24"/>
          <w:szCs w:val="24"/>
          <w:lang w:val="es-ES" w:eastAsia="es-ES"/>
        </w:rPr>
        <w:t xml:space="preserve">.Y en relación </w:t>
      </w:r>
      <w:r w:rsidR="00785AC1">
        <w:rPr>
          <w:rFonts w:ascii="Garamond" w:eastAsia="Times New Roman" w:hAnsi="Garamond" w:cs="Arial"/>
          <w:sz w:val="24"/>
          <w:szCs w:val="24"/>
          <w:lang w:val="es-ES" w:eastAsia="es-ES"/>
        </w:rPr>
        <w:t xml:space="preserve">con la población y </w:t>
      </w:r>
      <w:r w:rsidR="00F776F7">
        <w:rPr>
          <w:rFonts w:ascii="Garamond" w:eastAsia="Times New Roman" w:hAnsi="Garamond" w:cs="Arial"/>
          <w:sz w:val="24"/>
          <w:szCs w:val="24"/>
          <w:lang w:val="es-ES" w:eastAsia="es-ES"/>
        </w:rPr>
        <w:t>la minería, se proyecta una mayor relación de la ciudadanía con los proyectos mineros.</w:t>
      </w:r>
    </w:p>
    <w:p w:rsidR="009310DB" w:rsidRDefault="009310DB" w:rsidP="00C65BDB">
      <w:pPr>
        <w:spacing w:after="0" w:line="288" w:lineRule="auto"/>
        <w:jc w:val="both"/>
        <w:rPr>
          <w:rFonts w:ascii="Garamond" w:eastAsia="Times New Roman" w:hAnsi="Garamond" w:cs="Arial"/>
          <w:sz w:val="24"/>
          <w:szCs w:val="24"/>
          <w:lang w:val="es-ES" w:eastAsia="es-ES"/>
        </w:rPr>
      </w:pPr>
    </w:p>
    <w:p w:rsidR="006C5310" w:rsidRDefault="00785AC1" w:rsidP="00C65BDB">
      <w:pPr>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En Antofagasta se </w:t>
      </w:r>
      <w:r w:rsidRPr="00D7557F">
        <w:rPr>
          <w:rFonts w:ascii="Garamond" w:eastAsia="Times New Roman" w:hAnsi="Garamond" w:cs="Arial"/>
          <w:sz w:val="24"/>
          <w:szCs w:val="24"/>
          <w:lang w:val="es-ES" w:eastAsia="es-ES"/>
        </w:rPr>
        <w:t>visualiza un positivo crecimiento en los próximos años, y pudiendo lograr</w:t>
      </w:r>
      <w:r>
        <w:rPr>
          <w:rFonts w:ascii="Garamond" w:eastAsia="Times New Roman" w:hAnsi="Garamond" w:cs="Arial"/>
          <w:sz w:val="24"/>
          <w:szCs w:val="24"/>
          <w:lang w:val="es-ES" w:eastAsia="es-ES"/>
        </w:rPr>
        <w:t>se</w:t>
      </w:r>
      <w:r w:rsidRPr="00D7557F">
        <w:rPr>
          <w:rFonts w:ascii="Garamond" w:eastAsia="Times New Roman" w:hAnsi="Garamond" w:cs="Arial"/>
          <w:sz w:val="24"/>
          <w:szCs w:val="24"/>
          <w:lang w:val="es-ES" w:eastAsia="es-ES"/>
        </w:rPr>
        <w:t xml:space="preserve"> niveles de producto per cápita de un país desarrollado en la actualidad.</w:t>
      </w:r>
      <w:r>
        <w:rPr>
          <w:rFonts w:ascii="Garamond" w:eastAsia="Times New Roman" w:hAnsi="Garamond" w:cs="Arial"/>
          <w:sz w:val="24"/>
          <w:szCs w:val="24"/>
          <w:lang w:val="es-ES" w:eastAsia="es-ES"/>
        </w:rPr>
        <w:t xml:space="preserve"> Se </w:t>
      </w:r>
      <w:r w:rsidR="000500C3">
        <w:rPr>
          <w:rFonts w:ascii="Garamond" w:eastAsia="Times New Roman" w:hAnsi="Garamond" w:cs="Arial"/>
          <w:sz w:val="24"/>
          <w:szCs w:val="24"/>
          <w:lang w:val="es-ES" w:eastAsia="es-ES"/>
        </w:rPr>
        <w:t>prevé</w:t>
      </w:r>
      <w:r w:rsidR="00D4284C">
        <w:rPr>
          <w:rFonts w:ascii="Garamond" w:eastAsia="Times New Roman" w:hAnsi="Garamond" w:cs="Arial"/>
          <w:sz w:val="24"/>
          <w:szCs w:val="24"/>
          <w:lang w:val="es-ES" w:eastAsia="es-ES"/>
        </w:rPr>
        <w:t xml:space="preserve"> el crecimiento poblacional de la ciudad </w:t>
      </w:r>
      <w:r w:rsidR="000500C3">
        <w:rPr>
          <w:rFonts w:ascii="Garamond" w:eastAsia="Times New Roman" w:hAnsi="Garamond" w:cs="Arial"/>
          <w:sz w:val="24"/>
          <w:szCs w:val="24"/>
          <w:lang w:val="es-ES" w:eastAsia="es-ES"/>
        </w:rPr>
        <w:t xml:space="preserve">de </w:t>
      </w:r>
      <w:r w:rsidR="00D4284C">
        <w:rPr>
          <w:rFonts w:ascii="Garamond" w:eastAsia="Times New Roman" w:hAnsi="Garamond" w:cs="Arial"/>
          <w:sz w:val="24"/>
          <w:szCs w:val="24"/>
          <w:lang w:val="es-ES" w:eastAsia="es-ES"/>
        </w:rPr>
        <w:t xml:space="preserve">Antofagasta por sobre el resto, derivado del asentamiento de </w:t>
      </w:r>
      <w:r w:rsidR="006C5310">
        <w:rPr>
          <w:rFonts w:ascii="Garamond" w:eastAsia="Times New Roman" w:hAnsi="Garamond" w:cs="Arial"/>
          <w:sz w:val="24"/>
          <w:szCs w:val="24"/>
          <w:lang w:val="es-ES" w:eastAsia="es-ES"/>
        </w:rPr>
        <w:t xml:space="preserve">una parte de </w:t>
      </w:r>
      <w:r w:rsidR="00D4284C">
        <w:rPr>
          <w:rFonts w:ascii="Garamond" w:eastAsia="Times New Roman" w:hAnsi="Garamond" w:cs="Arial"/>
          <w:sz w:val="24"/>
          <w:szCs w:val="24"/>
          <w:lang w:val="es-ES" w:eastAsia="es-ES"/>
        </w:rPr>
        <w:t xml:space="preserve">la actual población flotante; pero aquello </w:t>
      </w:r>
      <w:r w:rsidR="007359AD">
        <w:rPr>
          <w:rFonts w:ascii="Garamond" w:eastAsia="Times New Roman" w:hAnsi="Garamond" w:cs="Arial"/>
          <w:sz w:val="24"/>
          <w:szCs w:val="24"/>
          <w:lang w:val="es-ES" w:eastAsia="es-ES"/>
        </w:rPr>
        <w:t xml:space="preserve">es condición de </w:t>
      </w:r>
      <w:r w:rsidR="00D4284C">
        <w:rPr>
          <w:rFonts w:ascii="Garamond" w:eastAsia="Times New Roman" w:hAnsi="Garamond" w:cs="Arial"/>
          <w:sz w:val="24"/>
          <w:szCs w:val="24"/>
          <w:lang w:val="es-ES" w:eastAsia="es-ES"/>
        </w:rPr>
        <w:t>un necesario mejoramiento de su infraestructura urbana que se encuentra semi colapsada</w:t>
      </w:r>
      <w:r w:rsidR="007359AD">
        <w:rPr>
          <w:rFonts w:ascii="Garamond" w:eastAsia="Times New Roman" w:hAnsi="Garamond" w:cs="Arial"/>
          <w:sz w:val="24"/>
          <w:szCs w:val="24"/>
          <w:lang w:val="es-ES" w:eastAsia="es-ES"/>
        </w:rPr>
        <w:t>, y con el sentido de generar un espacio con mayor calidad de vida</w:t>
      </w:r>
      <w:r w:rsidR="00D4284C">
        <w:rPr>
          <w:rFonts w:ascii="Garamond" w:eastAsia="Times New Roman" w:hAnsi="Garamond" w:cs="Arial"/>
          <w:sz w:val="24"/>
          <w:szCs w:val="24"/>
          <w:lang w:val="es-ES" w:eastAsia="es-ES"/>
        </w:rPr>
        <w:t xml:space="preserve">. </w:t>
      </w:r>
    </w:p>
    <w:p w:rsidR="006C5310" w:rsidRDefault="006C5310" w:rsidP="00C65BDB">
      <w:pPr>
        <w:spacing w:after="0" w:line="288" w:lineRule="auto"/>
        <w:jc w:val="both"/>
        <w:rPr>
          <w:rFonts w:ascii="Garamond" w:eastAsia="Times New Roman" w:hAnsi="Garamond" w:cs="Arial"/>
          <w:sz w:val="24"/>
          <w:szCs w:val="24"/>
          <w:lang w:val="es-ES" w:eastAsia="es-ES"/>
        </w:rPr>
      </w:pPr>
    </w:p>
    <w:p w:rsidR="007359AD" w:rsidRDefault="006C5310" w:rsidP="00C65BDB">
      <w:pPr>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Esta situación también se presenta en Atacama, con la diferencia que la ciudad de Copiapó tiene </w:t>
      </w:r>
      <w:r w:rsidR="00FE3238">
        <w:rPr>
          <w:rFonts w:ascii="Garamond" w:eastAsia="Times New Roman" w:hAnsi="Garamond" w:cs="Arial"/>
          <w:sz w:val="24"/>
          <w:szCs w:val="24"/>
          <w:lang w:val="es-ES" w:eastAsia="es-ES"/>
        </w:rPr>
        <w:t xml:space="preserve">un </w:t>
      </w:r>
      <w:r>
        <w:rPr>
          <w:rFonts w:ascii="Garamond" w:eastAsia="Times New Roman" w:hAnsi="Garamond" w:cs="Arial"/>
          <w:sz w:val="24"/>
          <w:szCs w:val="24"/>
          <w:lang w:val="es-ES" w:eastAsia="es-ES"/>
        </w:rPr>
        <w:t>menor tamaño</w:t>
      </w:r>
      <w:r w:rsidR="00785AC1">
        <w:rPr>
          <w:rFonts w:ascii="Garamond" w:eastAsia="Times New Roman" w:hAnsi="Garamond" w:cs="Arial"/>
          <w:sz w:val="24"/>
          <w:szCs w:val="24"/>
          <w:lang w:val="es-ES" w:eastAsia="es-ES"/>
        </w:rPr>
        <w:t>,</w:t>
      </w:r>
      <w:r>
        <w:rPr>
          <w:rFonts w:ascii="Garamond" w:eastAsia="Times New Roman" w:hAnsi="Garamond" w:cs="Arial"/>
          <w:sz w:val="24"/>
          <w:szCs w:val="24"/>
          <w:lang w:val="es-ES" w:eastAsia="es-ES"/>
        </w:rPr>
        <w:t xml:space="preserve"> que </w:t>
      </w:r>
      <w:r w:rsidR="00FE3238">
        <w:rPr>
          <w:rFonts w:ascii="Garamond" w:eastAsia="Times New Roman" w:hAnsi="Garamond" w:cs="Arial"/>
          <w:sz w:val="24"/>
          <w:szCs w:val="24"/>
          <w:lang w:val="es-ES" w:eastAsia="es-ES"/>
        </w:rPr>
        <w:t xml:space="preserve">ya </w:t>
      </w:r>
      <w:r>
        <w:rPr>
          <w:rFonts w:ascii="Garamond" w:eastAsia="Times New Roman" w:hAnsi="Garamond" w:cs="Arial"/>
          <w:sz w:val="24"/>
          <w:szCs w:val="24"/>
          <w:lang w:val="es-ES" w:eastAsia="es-ES"/>
        </w:rPr>
        <w:t xml:space="preserve">le ha significado experimentar </w:t>
      </w:r>
      <w:r w:rsidR="00FE3238">
        <w:rPr>
          <w:rFonts w:ascii="Garamond" w:eastAsia="Times New Roman" w:hAnsi="Garamond" w:cs="Arial"/>
          <w:sz w:val="24"/>
          <w:szCs w:val="24"/>
          <w:lang w:val="es-ES" w:eastAsia="es-ES"/>
        </w:rPr>
        <w:t xml:space="preserve">algunos costos por </w:t>
      </w:r>
      <w:r>
        <w:rPr>
          <w:rFonts w:ascii="Garamond" w:eastAsia="Times New Roman" w:hAnsi="Garamond" w:cs="Arial"/>
          <w:sz w:val="24"/>
          <w:szCs w:val="24"/>
          <w:lang w:val="es-ES" w:eastAsia="es-ES"/>
        </w:rPr>
        <w:t>un crecimiento explosivo en los últimos años</w:t>
      </w:r>
      <w:r w:rsidR="00FE3238">
        <w:rPr>
          <w:rFonts w:ascii="Garamond" w:eastAsia="Times New Roman" w:hAnsi="Garamond" w:cs="Arial"/>
          <w:sz w:val="24"/>
          <w:szCs w:val="24"/>
          <w:lang w:val="es-ES" w:eastAsia="es-ES"/>
        </w:rPr>
        <w:t xml:space="preserve">. En esta región </w:t>
      </w:r>
      <w:r w:rsidR="00095DD7">
        <w:rPr>
          <w:rFonts w:ascii="Garamond" w:eastAsia="Times New Roman" w:hAnsi="Garamond" w:cs="Arial"/>
          <w:sz w:val="24"/>
          <w:szCs w:val="24"/>
          <w:lang w:val="es-ES" w:eastAsia="es-ES"/>
        </w:rPr>
        <w:t xml:space="preserve">se </w:t>
      </w:r>
      <w:r w:rsidR="00FE3238">
        <w:rPr>
          <w:rFonts w:ascii="Garamond" w:eastAsia="Times New Roman" w:hAnsi="Garamond" w:cs="Arial"/>
          <w:sz w:val="24"/>
          <w:szCs w:val="24"/>
          <w:lang w:val="es-ES" w:eastAsia="es-ES"/>
        </w:rPr>
        <w:t>potenciar</w:t>
      </w:r>
      <w:r w:rsidR="00095DD7">
        <w:rPr>
          <w:rFonts w:ascii="Garamond" w:eastAsia="Times New Roman" w:hAnsi="Garamond" w:cs="Arial"/>
          <w:sz w:val="24"/>
          <w:szCs w:val="24"/>
          <w:lang w:val="es-ES" w:eastAsia="es-ES"/>
        </w:rPr>
        <w:t>á</w:t>
      </w:r>
      <w:r w:rsidR="00FE3238">
        <w:rPr>
          <w:rFonts w:ascii="Garamond" w:eastAsia="Times New Roman" w:hAnsi="Garamond" w:cs="Arial"/>
          <w:sz w:val="24"/>
          <w:szCs w:val="24"/>
          <w:lang w:val="es-ES" w:eastAsia="es-ES"/>
        </w:rPr>
        <w:t xml:space="preserve"> el turismo, </w:t>
      </w:r>
      <w:r w:rsidR="00095DD7">
        <w:rPr>
          <w:rFonts w:ascii="Garamond" w:eastAsia="Times New Roman" w:hAnsi="Garamond" w:cs="Arial"/>
          <w:sz w:val="24"/>
          <w:szCs w:val="24"/>
          <w:lang w:val="es-ES" w:eastAsia="es-ES"/>
        </w:rPr>
        <w:t xml:space="preserve">de acuerdo a sus grandes atractivos, </w:t>
      </w:r>
      <w:r w:rsidR="00FE3238">
        <w:rPr>
          <w:rFonts w:ascii="Garamond" w:eastAsia="Times New Roman" w:hAnsi="Garamond" w:cs="Arial"/>
          <w:sz w:val="24"/>
          <w:szCs w:val="24"/>
          <w:lang w:val="es-ES" w:eastAsia="es-ES"/>
        </w:rPr>
        <w:t>y otros sectores productivos que signifi</w:t>
      </w:r>
      <w:r w:rsidR="00095DD7">
        <w:rPr>
          <w:rFonts w:ascii="Garamond" w:eastAsia="Times New Roman" w:hAnsi="Garamond" w:cs="Arial"/>
          <w:sz w:val="24"/>
          <w:szCs w:val="24"/>
          <w:lang w:val="es-ES" w:eastAsia="es-ES"/>
        </w:rPr>
        <w:t xml:space="preserve">carán </w:t>
      </w:r>
      <w:r w:rsidR="008978FD">
        <w:rPr>
          <w:rFonts w:ascii="Garamond" w:eastAsia="Times New Roman" w:hAnsi="Garamond" w:cs="Arial"/>
          <w:sz w:val="24"/>
          <w:szCs w:val="24"/>
          <w:lang w:val="es-ES" w:eastAsia="es-ES"/>
        </w:rPr>
        <w:t xml:space="preserve">diversificar la economía local </w:t>
      </w:r>
      <w:r w:rsidR="00095DD7">
        <w:rPr>
          <w:rFonts w:ascii="Garamond" w:eastAsia="Times New Roman" w:hAnsi="Garamond" w:cs="Arial"/>
          <w:sz w:val="24"/>
          <w:szCs w:val="24"/>
          <w:lang w:val="es-ES" w:eastAsia="es-ES"/>
        </w:rPr>
        <w:t>y entregarle una</w:t>
      </w:r>
      <w:r w:rsidR="008978FD">
        <w:rPr>
          <w:rFonts w:ascii="Garamond" w:eastAsia="Times New Roman" w:hAnsi="Garamond" w:cs="Arial"/>
          <w:sz w:val="24"/>
          <w:szCs w:val="24"/>
          <w:lang w:val="es-ES" w:eastAsia="es-ES"/>
        </w:rPr>
        <w:t>mayor solides</w:t>
      </w:r>
      <w:r w:rsidR="00095DD7">
        <w:rPr>
          <w:rFonts w:ascii="Garamond" w:eastAsia="Times New Roman" w:hAnsi="Garamond" w:cs="Arial"/>
          <w:sz w:val="24"/>
          <w:szCs w:val="24"/>
          <w:lang w:val="es-ES" w:eastAsia="es-ES"/>
        </w:rPr>
        <w:t xml:space="preserve">. Asimismo, se producirá </w:t>
      </w:r>
      <w:r w:rsidR="008978FD">
        <w:rPr>
          <w:rFonts w:ascii="Garamond" w:eastAsia="Times New Roman" w:hAnsi="Garamond" w:cs="Arial"/>
          <w:sz w:val="24"/>
          <w:szCs w:val="24"/>
          <w:lang w:val="es-ES" w:eastAsia="es-ES"/>
        </w:rPr>
        <w:t xml:space="preserve">el </w:t>
      </w:r>
      <w:r w:rsidR="004A3460">
        <w:rPr>
          <w:rFonts w:ascii="Garamond" w:eastAsia="Times New Roman" w:hAnsi="Garamond" w:cs="Arial"/>
          <w:sz w:val="24"/>
          <w:szCs w:val="24"/>
          <w:lang w:val="es-ES" w:eastAsia="es-ES"/>
        </w:rPr>
        <w:t>crecimiento de otras ciudades.</w:t>
      </w:r>
    </w:p>
    <w:p w:rsidR="00E4136E" w:rsidRDefault="00E4136E" w:rsidP="00C65BDB">
      <w:pPr>
        <w:spacing w:after="0" w:line="288" w:lineRule="auto"/>
        <w:jc w:val="both"/>
        <w:rPr>
          <w:rFonts w:ascii="Garamond" w:eastAsia="Times New Roman" w:hAnsi="Garamond" w:cs="Arial"/>
          <w:sz w:val="24"/>
          <w:szCs w:val="24"/>
          <w:lang w:val="es-ES" w:eastAsia="es-ES"/>
        </w:rPr>
      </w:pPr>
    </w:p>
    <w:p w:rsidR="00F14971" w:rsidRDefault="00E4136E" w:rsidP="00F14971">
      <w:pPr>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En Coquimbo los sectores de mayor dinamismo son minería y construcción. En la región se va a realizar inversión pública en rutas turísticas, aeródromos y obras de riego, que son muy relevantes para crear condiciones para crecer y desarrollarse. La inversión privada se dirigirá hacia la minería, cultivos agrícolas y desarrollo inmobiliario costero. Y la población estará concentrada en La Serena, Coquimbo y Ovalle. Por otra parte, se vislumbran problemas energéticos que producen estrechez de energía eléctrica. </w:t>
      </w:r>
    </w:p>
    <w:p w:rsidR="00F14971" w:rsidRDefault="00F14971" w:rsidP="00F14971">
      <w:pPr>
        <w:spacing w:after="0" w:line="288" w:lineRule="auto"/>
        <w:jc w:val="both"/>
        <w:rPr>
          <w:rFonts w:ascii="Garamond" w:eastAsia="Times New Roman" w:hAnsi="Garamond" w:cs="Arial"/>
          <w:sz w:val="24"/>
          <w:szCs w:val="24"/>
          <w:lang w:val="es-ES" w:eastAsia="es-ES"/>
        </w:rPr>
      </w:pPr>
    </w:p>
    <w:p w:rsidR="00F14971" w:rsidRDefault="00F14971" w:rsidP="00F14971">
      <w:pPr>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El tema hídrico son limitantes para el desarrollo de Atacama y Coquimbo, que en el caso de no resolverse, van a significar un freno en su crecimiento.</w:t>
      </w:r>
    </w:p>
    <w:p w:rsidR="00E4136E" w:rsidRDefault="00E4136E" w:rsidP="00E4136E">
      <w:pPr>
        <w:spacing w:after="0" w:line="288" w:lineRule="auto"/>
        <w:jc w:val="both"/>
        <w:rPr>
          <w:rFonts w:ascii="Garamond" w:eastAsia="Times New Roman" w:hAnsi="Garamond" w:cs="Arial"/>
          <w:sz w:val="24"/>
          <w:szCs w:val="24"/>
          <w:lang w:val="es-ES" w:eastAsia="es-ES"/>
        </w:rPr>
      </w:pPr>
    </w:p>
    <w:p w:rsidR="00C729BF" w:rsidRPr="008B4D5D" w:rsidRDefault="00C729BF" w:rsidP="00C729BF">
      <w:pPr>
        <w:autoSpaceDE w:val="0"/>
        <w:autoSpaceDN w:val="0"/>
        <w:adjustRightInd w:val="0"/>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Un aspecto que se menciona en los análisis sobre la minería, se refieren a la baja incorporación de valor agregado de la actividad. Sin embargo, existen antecedentes que muestran una variación favorable en este aspecto. Por ejemplo </w:t>
      </w:r>
      <w:r w:rsidRPr="008B4D5D">
        <w:rPr>
          <w:rFonts w:ascii="Garamond" w:eastAsia="Times New Roman" w:hAnsi="Garamond" w:cs="Arial"/>
          <w:sz w:val="24"/>
          <w:szCs w:val="24"/>
          <w:lang w:val="es-ES" w:eastAsia="es-ES"/>
        </w:rPr>
        <w:t>el WorlEconomicForum</w:t>
      </w:r>
      <w:r>
        <w:rPr>
          <w:rFonts w:ascii="Garamond" w:eastAsia="Times New Roman" w:hAnsi="Garamond" w:cs="Arial"/>
          <w:sz w:val="24"/>
          <w:szCs w:val="24"/>
          <w:lang w:val="es-ES" w:eastAsia="es-ES"/>
        </w:rPr>
        <w:t xml:space="preserve"> (WEF)</w:t>
      </w:r>
      <w:r w:rsidRPr="008B4D5D">
        <w:rPr>
          <w:rStyle w:val="Refdenotaalpie"/>
          <w:lang w:val="es-ES" w:eastAsia="es-ES"/>
        </w:rPr>
        <w:footnoteReference w:id="51"/>
      </w:r>
      <w:r w:rsidRPr="008B4D5D">
        <w:rPr>
          <w:rStyle w:val="Refdenotaalpie"/>
          <w:lang w:val="es-ES" w:eastAsia="es-ES"/>
        </w:rPr>
        <w:t>,</w:t>
      </w:r>
      <w:r>
        <w:rPr>
          <w:rFonts w:ascii="Garamond" w:eastAsia="Times New Roman" w:hAnsi="Garamond" w:cs="Arial"/>
          <w:sz w:val="24"/>
          <w:szCs w:val="24"/>
          <w:lang w:val="es-ES" w:eastAsia="es-ES"/>
        </w:rPr>
        <w:t xml:space="preserve">destaca una acción </w:t>
      </w:r>
      <w:r w:rsidRPr="008B4D5D">
        <w:rPr>
          <w:rFonts w:ascii="Garamond" w:eastAsia="Times New Roman" w:hAnsi="Garamond" w:cs="Arial"/>
          <w:sz w:val="24"/>
          <w:szCs w:val="24"/>
          <w:lang w:val="es-ES" w:eastAsia="es-ES"/>
        </w:rPr>
        <w:t xml:space="preserve">público-privada </w:t>
      </w:r>
      <w:r>
        <w:rPr>
          <w:rFonts w:ascii="Garamond" w:eastAsia="Times New Roman" w:hAnsi="Garamond" w:cs="Arial"/>
          <w:sz w:val="24"/>
          <w:szCs w:val="24"/>
          <w:lang w:val="es-ES" w:eastAsia="es-ES"/>
        </w:rPr>
        <w:t xml:space="preserve">en Chile para </w:t>
      </w:r>
      <w:r w:rsidRPr="008B4D5D">
        <w:rPr>
          <w:rFonts w:ascii="Garamond" w:eastAsia="Times New Roman" w:hAnsi="Garamond" w:cs="Arial"/>
          <w:sz w:val="24"/>
          <w:szCs w:val="24"/>
          <w:lang w:val="es-ES" w:eastAsia="es-ES"/>
        </w:rPr>
        <w:t>presta</w:t>
      </w:r>
      <w:r>
        <w:rPr>
          <w:rFonts w:ascii="Garamond" w:eastAsia="Times New Roman" w:hAnsi="Garamond" w:cs="Arial"/>
          <w:sz w:val="24"/>
          <w:szCs w:val="24"/>
          <w:lang w:val="es-ES" w:eastAsia="es-ES"/>
        </w:rPr>
        <w:t>r</w:t>
      </w:r>
      <w:r w:rsidRPr="008B4D5D">
        <w:rPr>
          <w:rFonts w:ascii="Garamond" w:eastAsia="Times New Roman" w:hAnsi="Garamond" w:cs="Arial"/>
          <w:sz w:val="24"/>
          <w:szCs w:val="24"/>
          <w:lang w:val="es-ES" w:eastAsia="es-ES"/>
        </w:rPr>
        <w:t xml:space="preserve"> apoyo a las empresas locales en el desarrollo de “respuestas innovadoras a los problemas de la minería local</w:t>
      </w:r>
      <w:r>
        <w:rPr>
          <w:rFonts w:ascii="Garamond" w:eastAsia="Times New Roman" w:hAnsi="Garamond" w:cs="Arial"/>
          <w:sz w:val="24"/>
          <w:szCs w:val="24"/>
          <w:lang w:val="es-ES" w:eastAsia="es-ES"/>
        </w:rPr>
        <w:t>”</w:t>
      </w:r>
      <w:r w:rsidRPr="008B4D5D">
        <w:rPr>
          <w:rFonts w:ascii="Garamond" w:eastAsia="Times New Roman" w:hAnsi="Garamond" w:cs="Arial"/>
          <w:sz w:val="24"/>
          <w:szCs w:val="24"/>
          <w:lang w:val="es-ES" w:eastAsia="es-ES"/>
        </w:rPr>
        <w:t xml:space="preserve">, </w:t>
      </w:r>
      <w:r>
        <w:rPr>
          <w:rFonts w:ascii="Garamond" w:eastAsia="Times New Roman" w:hAnsi="Garamond" w:cs="Arial"/>
          <w:sz w:val="24"/>
          <w:szCs w:val="24"/>
          <w:lang w:val="es-ES" w:eastAsia="es-ES"/>
        </w:rPr>
        <w:t xml:space="preserve">en temas de </w:t>
      </w:r>
      <w:r w:rsidRPr="008B4D5D">
        <w:rPr>
          <w:rFonts w:ascii="Garamond" w:eastAsia="Times New Roman" w:hAnsi="Garamond" w:cs="Arial"/>
          <w:sz w:val="24"/>
          <w:szCs w:val="24"/>
          <w:lang w:val="es-ES" w:eastAsia="es-ES"/>
        </w:rPr>
        <w:t>agua, energía y habilidades</w:t>
      </w:r>
      <w:r>
        <w:rPr>
          <w:rFonts w:ascii="Garamond" w:eastAsia="Times New Roman" w:hAnsi="Garamond" w:cs="Arial"/>
          <w:sz w:val="24"/>
          <w:szCs w:val="24"/>
          <w:lang w:val="es-ES" w:eastAsia="es-ES"/>
        </w:rPr>
        <w:t xml:space="preserve">. Su </w:t>
      </w:r>
      <w:r w:rsidRPr="008B4D5D">
        <w:rPr>
          <w:rFonts w:ascii="Garamond" w:eastAsia="Times New Roman" w:hAnsi="Garamond" w:cs="Arial"/>
          <w:sz w:val="24"/>
          <w:szCs w:val="24"/>
          <w:lang w:val="es-ES" w:eastAsia="es-ES"/>
        </w:rPr>
        <w:t xml:space="preserve">objetivo </w:t>
      </w:r>
      <w:r>
        <w:rPr>
          <w:rFonts w:ascii="Garamond" w:eastAsia="Times New Roman" w:hAnsi="Garamond" w:cs="Arial"/>
          <w:sz w:val="24"/>
          <w:szCs w:val="24"/>
          <w:lang w:val="es-ES" w:eastAsia="es-ES"/>
        </w:rPr>
        <w:t>es</w:t>
      </w:r>
      <w:r w:rsidRPr="008B4D5D">
        <w:rPr>
          <w:rFonts w:ascii="Garamond" w:eastAsia="Times New Roman" w:hAnsi="Garamond" w:cs="Arial"/>
          <w:sz w:val="24"/>
          <w:szCs w:val="24"/>
          <w:lang w:val="es-ES" w:eastAsia="es-ES"/>
        </w:rPr>
        <w:t xml:space="preserve"> crear 25</w:t>
      </w:r>
      <w:r>
        <w:rPr>
          <w:rFonts w:ascii="Garamond" w:eastAsia="Times New Roman" w:hAnsi="Garamond" w:cs="Arial"/>
          <w:sz w:val="24"/>
          <w:szCs w:val="24"/>
          <w:lang w:val="es-ES" w:eastAsia="es-ES"/>
        </w:rPr>
        <w:t xml:space="preserve">0 proveedores de nivel mundial, que al año 2020 </w:t>
      </w:r>
      <w:r w:rsidRPr="008B4D5D">
        <w:rPr>
          <w:rFonts w:ascii="Garamond" w:eastAsia="Times New Roman" w:hAnsi="Garamond" w:cs="Arial"/>
          <w:sz w:val="24"/>
          <w:szCs w:val="24"/>
          <w:lang w:val="es-ES" w:eastAsia="es-ES"/>
        </w:rPr>
        <w:t xml:space="preserve">vendan un </w:t>
      </w:r>
      <w:r>
        <w:rPr>
          <w:rFonts w:ascii="Garamond" w:eastAsia="Times New Roman" w:hAnsi="Garamond" w:cs="Arial"/>
          <w:sz w:val="24"/>
          <w:szCs w:val="24"/>
          <w:lang w:val="es-ES" w:eastAsia="es-ES"/>
        </w:rPr>
        <w:t>tercio fuera de Chile con niveles de excelencia.</w:t>
      </w:r>
      <w:r w:rsidRPr="008B4D5D">
        <w:rPr>
          <w:rFonts w:ascii="Garamond" w:eastAsia="Times New Roman" w:hAnsi="Garamond" w:cs="Arial"/>
          <w:sz w:val="24"/>
          <w:szCs w:val="24"/>
          <w:lang w:val="es-ES" w:eastAsia="es-ES"/>
        </w:rPr>
        <w:t xml:space="preserve">  Ya en el 2012, </w:t>
      </w:r>
      <w:r>
        <w:rPr>
          <w:rFonts w:ascii="Garamond" w:eastAsia="Times New Roman" w:hAnsi="Garamond" w:cs="Arial"/>
          <w:sz w:val="24"/>
          <w:szCs w:val="24"/>
          <w:lang w:val="es-ES" w:eastAsia="es-ES"/>
        </w:rPr>
        <w:t>un número importante de empresas (</w:t>
      </w:r>
      <w:r w:rsidRPr="008B4D5D">
        <w:rPr>
          <w:rFonts w:ascii="Garamond" w:eastAsia="Times New Roman" w:hAnsi="Garamond" w:cs="Arial"/>
          <w:sz w:val="24"/>
          <w:szCs w:val="24"/>
          <w:lang w:val="es-ES" w:eastAsia="es-ES"/>
        </w:rPr>
        <w:t>55</w:t>
      </w:r>
      <w:r>
        <w:rPr>
          <w:rFonts w:ascii="Garamond" w:eastAsia="Times New Roman" w:hAnsi="Garamond" w:cs="Arial"/>
          <w:sz w:val="24"/>
          <w:szCs w:val="24"/>
          <w:lang w:val="es-ES" w:eastAsia="es-ES"/>
        </w:rPr>
        <w:t>) había logrado crecer y exportar, y habían mejorado</w:t>
      </w:r>
      <w:r w:rsidRPr="008B4D5D">
        <w:rPr>
          <w:rFonts w:ascii="Garamond" w:eastAsia="Times New Roman" w:hAnsi="Garamond" w:cs="Arial"/>
          <w:sz w:val="24"/>
          <w:szCs w:val="24"/>
          <w:lang w:val="es-ES" w:eastAsia="es-ES"/>
        </w:rPr>
        <w:t xml:space="preserve"> sus </w:t>
      </w:r>
      <w:r>
        <w:rPr>
          <w:rFonts w:ascii="Garamond" w:eastAsia="Times New Roman" w:hAnsi="Garamond" w:cs="Arial"/>
          <w:sz w:val="24"/>
          <w:szCs w:val="24"/>
          <w:lang w:val="es-ES" w:eastAsia="es-ES"/>
        </w:rPr>
        <w:t>“</w:t>
      </w:r>
      <w:r w:rsidRPr="008B4D5D">
        <w:rPr>
          <w:rFonts w:ascii="Garamond" w:eastAsia="Times New Roman" w:hAnsi="Garamond" w:cs="Arial"/>
          <w:sz w:val="24"/>
          <w:szCs w:val="24"/>
          <w:lang w:val="es-ES" w:eastAsia="es-ES"/>
        </w:rPr>
        <w:t xml:space="preserve">normas laborales, de seguridad y proteccióndel medio ambiente”. </w:t>
      </w:r>
    </w:p>
    <w:p w:rsidR="00135A51" w:rsidRDefault="00135A51" w:rsidP="00E4136E">
      <w:pPr>
        <w:spacing w:after="0" w:line="288" w:lineRule="auto"/>
        <w:jc w:val="both"/>
        <w:rPr>
          <w:rFonts w:ascii="Garamond" w:eastAsia="Times New Roman" w:hAnsi="Garamond" w:cs="Arial"/>
          <w:sz w:val="24"/>
          <w:szCs w:val="24"/>
          <w:lang w:val="es-ES" w:eastAsia="es-ES"/>
        </w:rPr>
      </w:pPr>
    </w:p>
    <w:p w:rsidR="000B4A08" w:rsidRDefault="00C66A98" w:rsidP="00E4136E">
      <w:pPr>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 xml:space="preserve">En una encuesta realizada por el WEF sobre el desarrollo de una minería responsable, y de la gestión del valor de esa actividad, </w:t>
      </w:r>
      <w:r w:rsidR="00D63B78">
        <w:rPr>
          <w:rFonts w:ascii="Garamond" w:eastAsia="Times New Roman" w:hAnsi="Garamond" w:cs="Arial"/>
          <w:sz w:val="24"/>
          <w:szCs w:val="24"/>
          <w:lang w:val="es-ES" w:eastAsia="es-ES"/>
        </w:rPr>
        <w:t xml:space="preserve">se entregan </w:t>
      </w:r>
      <w:r>
        <w:rPr>
          <w:rFonts w:ascii="Garamond" w:eastAsia="Times New Roman" w:hAnsi="Garamond" w:cs="Arial"/>
          <w:sz w:val="24"/>
          <w:szCs w:val="24"/>
          <w:lang w:val="es-ES" w:eastAsia="es-ES"/>
        </w:rPr>
        <w:t>respuestas referidas a 7 aspectos</w:t>
      </w:r>
      <w:r w:rsidR="00D63B78">
        <w:rPr>
          <w:rStyle w:val="Refdenotaalpie"/>
          <w:rFonts w:ascii="Garamond" w:eastAsia="Times New Roman" w:hAnsi="Garamond" w:cs="Arial"/>
          <w:sz w:val="24"/>
          <w:szCs w:val="24"/>
          <w:lang w:val="es-ES" w:eastAsia="es-ES"/>
        </w:rPr>
        <w:footnoteReference w:id="52"/>
      </w:r>
      <w:r w:rsidR="00D63B78">
        <w:rPr>
          <w:rFonts w:ascii="Garamond" w:eastAsia="Times New Roman" w:hAnsi="Garamond" w:cs="Arial"/>
          <w:sz w:val="24"/>
          <w:szCs w:val="24"/>
          <w:lang w:val="es-ES" w:eastAsia="es-ES"/>
        </w:rPr>
        <w:t xml:space="preserve">que inciden en la valorización del sector minero. </w:t>
      </w:r>
      <w:r w:rsidR="00020491">
        <w:rPr>
          <w:rFonts w:ascii="Garamond" w:eastAsia="Times New Roman" w:hAnsi="Garamond" w:cs="Arial"/>
          <w:sz w:val="24"/>
          <w:szCs w:val="24"/>
          <w:lang w:val="es-ES" w:eastAsia="es-ES"/>
        </w:rPr>
        <w:t>Los re</w:t>
      </w:r>
      <w:r w:rsidR="000B4A08">
        <w:rPr>
          <w:rFonts w:ascii="Garamond" w:eastAsia="Times New Roman" w:hAnsi="Garamond" w:cs="Arial"/>
          <w:sz w:val="24"/>
          <w:szCs w:val="24"/>
          <w:lang w:val="es-ES" w:eastAsia="es-ES"/>
        </w:rPr>
        <w:t xml:space="preserve">sultados sobre la percepción del aporte de la minería </w:t>
      </w:r>
      <w:r w:rsidR="00FE0458">
        <w:rPr>
          <w:rFonts w:ascii="Garamond" w:eastAsia="Times New Roman" w:hAnsi="Garamond" w:cs="Arial"/>
          <w:sz w:val="24"/>
          <w:szCs w:val="24"/>
          <w:lang w:val="es-ES" w:eastAsia="es-ES"/>
        </w:rPr>
        <w:t>para países similares a Chile (países “impulsados por la eficiencia”</w:t>
      </w:r>
      <w:r w:rsidR="004850B8">
        <w:rPr>
          <w:rStyle w:val="Refdenotaalpie"/>
          <w:rFonts w:ascii="Garamond" w:eastAsia="Times New Roman" w:hAnsi="Garamond" w:cs="Arial"/>
          <w:sz w:val="24"/>
          <w:szCs w:val="24"/>
          <w:lang w:val="es-ES" w:eastAsia="es-ES"/>
        </w:rPr>
        <w:footnoteReference w:id="53"/>
      </w:r>
      <w:r w:rsidR="00FE0458">
        <w:rPr>
          <w:rFonts w:ascii="Garamond" w:eastAsia="Times New Roman" w:hAnsi="Garamond" w:cs="Arial"/>
          <w:sz w:val="24"/>
          <w:szCs w:val="24"/>
          <w:lang w:val="es-ES" w:eastAsia="es-ES"/>
        </w:rPr>
        <w:t xml:space="preserve">) muestran un avance </w:t>
      </w:r>
      <w:r w:rsidR="003E19BD">
        <w:rPr>
          <w:rFonts w:ascii="Garamond" w:eastAsia="Times New Roman" w:hAnsi="Garamond" w:cs="Arial"/>
          <w:sz w:val="24"/>
          <w:szCs w:val="24"/>
          <w:lang w:val="es-ES" w:eastAsia="es-ES"/>
        </w:rPr>
        <w:t xml:space="preserve">relativamente uniforme </w:t>
      </w:r>
      <w:r w:rsidR="00FE0458">
        <w:rPr>
          <w:rFonts w:ascii="Garamond" w:eastAsia="Times New Roman" w:hAnsi="Garamond" w:cs="Arial"/>
          <w:sz w:val="24"/>
          <w:szCs w:val="24"/>
          <w:lang w:val="es-ES" w:eastAsia="es-ES"/>
        </w:rPr>
        <w:t xml:space="preserve">en los 7 aspectos señalados, </w:t>
      </w:r>
      <w:r w:rsidR="000B4A08">
        <w:rPr>
          <w:rFonts w:ascii="Garamond" w:eastAsia="Times New Roman" w:hAnsi="Garamond" w:cs="Arial"/>
          <w:sz w:val="24"/>
          <w:szCs w:val="24"/>
          <w:lang w:val="es-ES" w:eastAsia="es-ES"/>
        </w:rPr>
        <w:t xml:space="preserve">hacia niveles que se sitúan en el valor medio de dichas dimensiones, </w:t>
      </w:r>
      <w:r w:rsidR="00F53879">
        <w:rPr>
          <w:rFonts w:ascii="Garamond" w:eastAsia="Times New Roman" w:hAnsi="Garamond" w:cs="Arial"/>
          <w:sz w:val="24"/>
          <w:szCs w:val="24"/>
          <w:lang w:val="es-ES" w:eastAsia="es-ES"/>
        </w:rPr>
        <w:t xml:space="preserve">determinado por </w:t>
      </w:r>
      <w:r w:rsidR="000B4A08">
        <w:rPr>
          <w:rFonts w:ascii="Garamond" w:eastAsia="Times New Roman" w:hAnsi="Garamond" w:cs="Arial"/>
          <w:sz w:val="24"/>
          <w:szCs w:val="24"/>
          <w:lang w:val="es-ES" w:eastAsia="es-ES"/>
        </w:rPr>
        <w:t>el país del primer y último lugar en el mundo.</w:t>
      </w:r>
      <w:r w:rsidR="003E19BD">
        <w:rPr>
          <w:rFonts w:ascii="Garamond" w:eastAsia="Times New Roman" w:hAnsi="Garamond" w:cs="Arial"/>
          <w:sz w:val="24"/>
          <w:szCs w:val="24"/>
          <w:lang w:val="es-ES" w:eastAsia="es-ES"/>
        </w:rPr>
        <w:t xml:space="preserve">Los aspectos de mayor evolución son la Cohesión socioeconómica y cultural y el de la Comercialización y distribución, que se refieren a los </w:t>
      </w:r>
      <w:r w:rsidR="005C0F81">
        <w:rPr>
          <w:rFonts w:ascii="Garamond" w:eastAsia="Times New Roman" w:hAnsi="Garamond" w:cs="Arial"/>
          <w:sz w:val="24"/>
          <w:szCs w:val="24"/>
          <w:lang w:val="es-ES" w:eastAsia="es-ES"/>
        </w:rPr>
        <w:t xml:space="preserve">costos y beneficios </w:t>
      </w:r>
      <w:r w:rsidR="00744273">
        <w:rPr>
          <w:rFonts w:ascii="Garamond" w:eastAsia="Times New Roman" w:hAnsi="Garamond" w:cs="Arial"/>
          <w:sz w:val="24"/>
          <w:szCs w:val="24"/>
          <w:lang w:val="es-ES" w:eastAsia="es-ES"/>
        </w:rPr>
        <w:t xml:space="preserve">que reciben </w:t>
      </w:r>
      <w:r w:rsidR="005C0F81">
        <w:rPr>
          <w:rFonts w:ascii="Garamond" w:eastAsia="Times New Roman" w:hAnsi="Garamond" w:cs="Arial"/>
          <w:sz w:val="24"/>
          <w:szCs w:val="24"/>
          <w:lang w:val="es-ES" w:eastAsia="es-ES"/>
        </w:rPr>
        <w:t>las comunidades locales, y al establecimiento de una industria de suministro</w:t>
      </w:r>
      <w:r w:rsidR="00744273">
        <w:rPr>
          <w:rFonts w:ascii="Garamond" w:eastAsia="Times New Roman" w:hAnsi="Garamond" w:cs="Arial"/>
          <w:sz w:val="24"/>
          <w:szCs w:val="24"/>
          <w:lang w:val="es-ES" w:eastAsia="es-ES"/>
        </w:rPr>
        <w:t xml:space="preserve">, regional o nacional, </w:t>
      </w:r>
      <w:r w:rsidR="005C0F81">
        <w:rPr>
          <w:rFonts w:ascii="Garamond" w:eastAsia="Times New Roman" w:hAnsi="Garamond" w:cs="Arial"/>
          <w:sz w:val="24"/>
          <w:szCs w:val="24"/>
          <w:lang w:val="es-ES" w:eastAsia="es-ES"/>
        </w:rPr>
        <w:t>respectivamente.</w:t>
      </w:r>
    </w:p>
    <w:p w:rsidR="000B4A08" w:rsidRDefault="000B4A08" w:rsidP="00E4136E">
      <w:pPr>
        <w:spacing w:after="0" w:line="288" w:lineRule="auto"/>
        <w:jc w:val="both"/>
        <w:rPr>
          <w:rFonts w:ascii="Garamond" w:eastAsia="Times New Roman" w:hAnsi="Garamond" w:cs="Arial"/>
          <w:sz w:val="24"/>
          <w:szCs w:val="24"/>
          <w:lang w:val="es-ES" w:eastAsia="es-ES"/>
        </w:rPr>
      </w:pPr>
    </w:p>
    <w:p w:rsidR="00F550D9" w:rsidRDefault="00F14971" w:rsidP="00C65BDB">
      <w:pPr>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Para los próximos años en las regiones mineras s</w:t>
      </w:r>
      <w:r w:rsidR="00744273">
        <w:rPr>
          <w:rFonts w:ascii="Garamond" w:eastAsia="Times New Roman" w:hAnsi="Garamond" w:cs="Arial"/>
          <w:sz w:val="24"/>
          <w:szCs w:val="24"/>
          <w:lang w:val="es-ES" w:eastAsia="es-ES"/>
        </w:rPr>
        <w:t xml:space="preserve">e </w:t>
      </w:r>
      <w:r w:rsidR="006C55DB">
        <w:rPr>
          <w:rFonts w:ascii="Garamond" w:eastAsia="Times New Roman" w:hAnsi="Garamond" w:cs="Arial"/>
          <w:sz w:val="24"/>
          <w:szCs w:val="24"/>
          <w:lang w:val="es-ES" w:eastAsia="es-ES"/>
        </w:rPr>
        <w:t xml:space="preserve">proyecta una mayor incorporación de las </w:t>
      </w:r>
      <w:r w:rsidR="00744273">
        <w:rPr>
          <w:rFonts w:ascii="Garamond" w:eastAsia="Times New Roman" w:hAnsi="Garamond" w:cs="Arial"/>
          <w:sz w:val="24"/>
          <w:szCs w:val="24"/>
          <w:lang w:val="es-ES" w:eastAsia="es-ES"/>
        </w:rPr>
        <w:t xml:space="preserve">comunidades con las empresas mineras y de </w:t>
      </w:r>
      <w:r>
        <w:rPr>
          <w:rFonts w:ascii="Garamond" w:eastAsia="Times New Roman" w:hAnsi="Garamond" w:cs="Arial"/>
          <w:sz w:val="24"/>
          <w:szCs w:val="24"/>
          <w:lang w:val="es-ES" w:eastAsia="es-ES"/>
        </w:rPr>
        <w:t xml:space="preserve">su </w:t>
      </w:r>
      <w:r w:rsidR="00744273">
        <w:rPr>
          <w:rFonts w:ascii="Garamond" w:eastAsia="Times New Roman" w:hAnsi="Garamond" w:cs="Arial"/>
          <w:sz w:val="24"/>
          <w:szCs w:val="24"/>
          <w:lang w:val="es-ES" w:eastAsia="es-ES"/>
        </w:rPr>
        <w:t xml:space="preserve">población, en general, en aspectos como la utilización de mano de obra local, el cuidado del patrimonio, la sustentabilidad en el tiempo de las actividades, el mejoramiento de la infraestructura social, </w:t>
      </w:r>
      <w:r w:rsidR="00F550D9">
        <w:rPr>
          <w:rFonts w:ascii="Garamond" w:eastAsia="Times New Roman" w:hAnsi="Garamond" w:cs="Arial"/>
          <w:sz w:val="24"/>
          <w:szCs w:val="24"/>
          <w:lang w:val="es-ES" w:eastAsia="es-ES"/>
        </w:rPr>
        <w:t xml:space="preserve">y el surgimiento de negocios fuera de la minería, entre otros. También se aprecia hacia el futuro una mayor interrelación </w:t>
      </w:r>
      <w:r w:rsidR="009E5D54">
        <w:rPr>
          <w:rFonts w:ascii="Garamond" w:eastAsia="Times New Roman" w:hAnsi="Garamond" w:cs="Arial"/>
          <w:sz w:val="24"/>
          <w:szCs w:val="24"/>
          <w:lang w:val="es-ES" w:eastAsia="es-ES"/>
        </w:rPr>
        <w:t xml:space="preserve">en las economías regionales, en encadenamientos productivos hacia atrás, que se refiere al suministro de insumos a </w:t>
      </w:r>
      <w:r w:rsidR="0061070D">
        <w:rPr>
          <w:rFonts w:ascii="Garamond" w:eastAsia="Times New Roman" w:hAnsi="Garamond" w:cs="Arial"/>
          <w:sz w:val="24"/>
          <w:szCs w:val="24"/>
          <w:lang w:val="es-ES" w:eastAsia="es-ES"/>
        </w:rPr>
        <w:t>laindustria de la minería</w:t>
      </w:r>
      <w:r w:rsidR="009E5D54">
        <w:rPr>
          <w:rFonts w:ascii="Garamond" w:eastAsia="Times New Roman" w:hAnsi="Garamond" w:cs="Arial"/>
          <w:sz w:val="24"/>
          <w:szCs w:val="24"/>
          <w:lang w:val="es-ES" w:eastAsia="es-ES"/>
        </w:rPr>
        <w:t xml:space="preserve">; </w:t>
      </w:r>
      <w:r w:rsidR="0061070D">
        <w:rPr>
          <w:rFonts w:ascii="Garamond" w:eastAsia="Times New Roman" w:hAnsi="Garamond" w:cs="Arial"/>
          <w:sz w:val="24"/>
          <w:szCs w:val="24"/>
          <w:lang w:val="es-ES" w:eastAsia="es-ES"/>
        </w:rPr>
        <w:t xml:space="preserve">de parte de las empresas locales, con altos estándares de calidad que les permite evolucionar hacia el mercado externo. También puede significar </w:t>
      </w:r>
      <w:r w:rsidR="009E5D54">
        <w:rPr>
          <w:rFonts w:ascii="Garamond" w:eastAsia="Times New Roman" w:hAnsi="Garamond" w:cs="Arial"/>
          <w:sz w:val="24"/>
          <w:szCs w:val="24"/>
          <w:lang w:val="es-ES" w:eastAsia="es-ES"/>
        </w:rPr>
        <w:t xml:space="preserve">junto con ello, el desarrollo de </w:t>
      </w:r>
      <w:r w:rsidR="0061070D">
        <w:rPr>
          <w:rFonts w:ascii="Garamond" w:eastAsia="Times New Roman" w:hAnsi="Garamond" w:cs="Arial"/>
          <w:sz w:val="24"/>
          <w:szCs w:val="24"/>
          <w:lang w:val="es-ES" w:eastAsia="es-ES"/>
        </w:rPr>
        <w:t xml:space="preserve">productos diversos </w:t>
      </w:r>
      <w:r w:rsidR="009E5D54">
        <w:rPr>
          <w:rFonts w:ascii="Garamond" w:eastAsia="Times New Roman" w:hAnsi="Garamond" w:cs="Arial"/>
          <w:sz w:val="24"/>
          <w:szCs w:val="24"/>
          <w:lang w:val="es-ES" w:eastAsia="es-ES"/>
        </w:rPr>
        <w:t>que transform</w:t>
      </w:r>
      <w:r w:rsidR="0061070D">
        <w:rPr>
          <w:rFonts w:ascii="Garamond" w:eastAsia="Times New Roman" w:hAnsi="Garamond" w:cs="Arial"/>
          <w:sz w:val="24"/>
          <w:szCs w:val="24"/>
          <w:lang w:val="es-ES" w:eastAsia="es-ES"/>
        </w:rPr>
        <w:t xml:space="preserve">en </w:t>
      </w:r>
      <w:r w:rsidR="009E5D54">
        <w:rPr>
          <w:rFonts w:ascii="Garamond" w:eastAsia="Times New Roman" w:hAnsi="Garamond" w:cs="Arial"/>
          <w:sz w:val="24"/>
          <w:szCs w:val="24"/>
          <w:lang w:val="es-ES" w:eastAsia="es-ES"/>
        </w:rPr>
        <w:t>las materias primas</w:t>
      </w:r>
      <w:r w:rsidR="0061070D">
        <w:rPr>
          <w:rFonts w:ascii="Garamond" w:eastAsia="Times New Roman" w:hAnsi="Garamond" w:cs="Arial"/>
          <w:sz w:val="24"/>
          <w:szCs w:val="24"/>
          <w:lang w:val="es-ES" w:eastAsia="es-ES"/>
        </w:rPr>
        <w:t xml:space="preserve"> en ofertas </w:t>
      </w:r>
      <w:r w:rsidR="00D522B0">
        <w:rPr>
          <w:rFonts w:ascii="Garamond" w:eastAsia="Times New Roman" w:hAnsi="Garamond" w:cs="Arial"/>
          <w:sz w:val="24"/>
          <w:szCs w:val="24"/>
          <w:lang w:val="es-ES" w:eastAsia="es-ES"/>
        </w:rPr>
        <w:t xml:space="preserve">novedosas e </w:t>
      </w:r>
      <w:r w:rsidR="0061070D">
        <w:rPr>
          <w:rFonts w:ascii="Garamond" w:eastAsia="Times New Roman" w:hAnsi="Garamond" w:cs="Arial"/>
          <w:sz w:val="24"/>
          <w:szCs w:val="24"/>
          <w:lang w:val="es-ES" w:eastAsia="es-ES"/>
        </w:rPr>
        <w:t>i</w:t>
      </w:r>
      <w:r w:rsidR="00D522B0">
        <w:rPr>
          <w:rFonts w:ascii="Garamond" w:eastAsia="Times New Roman" w:hAnsi="Garamond" w:cs="Arial"/>
          <w:sz w:val="24"/>
          <w:szCs w:val="24"/>
          <w:lang w:val="es-ES" w:eastAsia="es-ES"/>
        </w:rPr>
        <w:t>n</w:t>
      </w:r>
      <w:r w:rsidR="0061070D">
        <w:rPr>
          <w:rFonts w:ascii="Garamond" w:eastAsia="Times New Roman" w:hAnsi="Garamond" w:cs="Arial"/>
          <w:sz w:val="24"/>
          <w:szCs w:val="24"/>
          <w:lang w:val="es-ES" w:eastAsia="es-ES"/>
        </w:rPr>
        <w:t>nov</w:t>
      </w:r>
      <w:r w:rsidR="00D522B0">
        <w:rPr>
          <w:rFonts w:ascii="Garamond" w:eastAsia="Times New Roman" w:hAnsi="Garamond" w:cs="Arial"/>
          <w:sz w:val="24"/>
          <w:szCs w:val="24"/>
          <w:lang w:val="es-ES" w:eastAsia="es-ES"/>
        </w:rPr>
        <w:t xml:space="preserve">adoras, como han surgido en el último tiempo en el área de la salud, y textil. Asimismo, se considera un mayor desarrollo de infraestructura </w:t>
      </w:r>
      <w:r w:rsidR="005E4864">
        <w:rPr>
          <w:rFonts w:ascii="Garamond" w:eastAsia="Times New Roman" w:hAnsi="Garamond" w:cs="Arial"/>
          <w:sz w:val="24"/>
          <w:szCs w:val="24"/>
          <w:lang w:val="es-ES" w:eastAsia="es-ES"/>
        </w:rPr>
        <w:t>vial y de energía, que junto con beneficiar al sector minero, repercuten en otras actividades económicas y en el bienestar de la misma población</w:t>
      </w:r>
      <w:r w:rsidR="005E4864">
        <w:rPr>
          <w:rStyle w:val="Refdenotaalpie"/>
          <w:rFonts w:ascii="Garamond" w:eastAsia="Times New Roman" w:hAnsi="Garamond" w:cs="Arial"/>
          <w:sz w:val="24"/>
          <w:szCs w:val="24"/>
          <w:lang w:val="es-ES" w:eastAsia="es-ES"/>
        </w:rPr>
        <w:footnoteReference w:id="54"/>
      </w:r>
      <w:r w:rsidR="005E4864">
        <w:rPr>
          <w:rFonts w:ascii="Garamond" w:eastAsia="Times New Roman" w:hAnsi="Garamond" w:cs="Arial"/>
          <w:sz w:val="24"/>
          <w:szCs w:val="24"/>
          <w:lang w:val="es-ES" w:eastAsia="es-ES"/>
        </w:rPr>
        <w:t>.Todo</w:t>
      </w:r>
      <w:r w:rsidR="00C934E0">
        <w:rPr>
          <w:rFonts w:ascii="Garamond" w:eastAsia="Times New Roman" w:hAnsi="Garamond" w:cs="Arial"/>
          <w:sz w:val="24"/>
          <w:szCs w:val="24"/>
          <w:lang w:val="es-ES" w:eastAsia="es-ES"/>
        </w:rPr>
        <w:t>s</w:t>
      </w:r>
      <w:r w:rsidR="005E4864">
        <w:rPr>
          <w:rFonts w:ascii="Garamond" w:eastAsia="Times New Roman" w:hAnsi="Garamond" w:cs="Arial"/>
          <w:sz w:val="24"/>
          <w:szCs w:val="24"/>
          <w:lang w:val="es-ES" w:eastAsia="es-ES"/>
        </w:rPr>
        <w:t xml:space="preserve"> estos pronósticos</w:t>
      </w:r>
      <w:r w:rsidR="00F550D9">
        <w:rPr>
          <w:rFonts w:ascii="Garamond" w:eastAsia="Times New Roman" w:hAnsi="Garamond" w:cs="Arial"/>
          <w:sz w:val="24"/>
          <w:szCs w:val="24"/>
          <w:lang w:val="es-ES" w:eastAsia="es-ES"/>
        </w:rPr>
        <w:t xml:space="preserve">, son parte de una sana </w:t>
      </w:r>
      <w:r w:rsidR="005E4864">
        <w:rPr>
          <w:rFonts w:ascii="Garamond" w:eastAsia="Times New Roman" w:hAnsi="Garamond" w:cs="Arial"/>
          <w:sz w:val="24"/>
          <w:szCs w:val="24"/>
          <w:lang w:val="es-ES" w:eastAsia="es-ES"/>
        </w:rPr>
        <w:t xml:space="preserve">y equilibrada </w:t>
      </w:r>
      <w:r w:rsidR="00F550D9">
        <w:rPr>
          <w:rFonts w:ascii="Garamond" w:eastAsia="Times New Roman" w:hAnsi="Garamond" w:cs="Arial"/>
          <w:sz w:val="24"/>
          <w:szCs w:val="24"/>
          <w:lang w:val="es-ES" w:eastAsia="es-ES"/>
        </w:rPr>
        <w:t xml:space="preserve">convivencia que es necesaria establecer para crear condiciones </w:t>
      </w:r>
      <w:r w:rsidR="005E4864">
        <w:rPr>
          <w:rFonts w:ascii="Garamond" w:eastAsia="Times New Roman" w:hAnsi="Garamond" w:cs="Arial"/>
          <w:sz w:val="24"/>
          <w:szCs w:val="24"/>
          <w:lang w:val="es-ES" w:eastAsia="es-ES"/>
        </w:rPr>
        <w:t>de sustentabilidad en la actividad minera en los próximos años.</w:t>
      </w:r>
    </w:p>
    <w:p w:rsidR="00F550D9" w:rsidRDefault="00F550D9" w:rsidP="00C65BDB">
      <w:pPr>
        <w:spacing w:after="0" w:line="288" w:lineRule="auto"/>
        <w:jc w:val="both"/>
        <w:rPr>
          <w:rFonts w:ascii="Garamond" w:eastAsia="Times New Roman" w:hAnsi="Garamond" w:cs="Arial"/>
          <w:sz w:val="24"/>
          <w:szCs w:val="24"/>
          <w:lang w:val="es-ES" w:eastAsia="es-ES"/>
        </w:rPr>
      </w:pPr>
    </w:p>
    <w:p w:rsidR="00F53879" w:rsidRPr="00C65BDB" w:rsidRDefault="005E4864">
      <w:pPr>
        <w:spacing w:after="0" w:line="288"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Y en esa perspectiva, l</w:t>
      </w:r>
      <w:r w:rsidR="004C42C9">
        <w:rPr>
          <w:rFonts w:ascii="Garamond" w:eastAsia="Times New Roman" w:hAnsi="Garamond" w:cs="Arial"/>
          <w:sz w:val="24"/>
          <w:szCs w:val="24"/>
          <w:lang w:val="es-ES" w:eastAsia="es-ES"/>
        </w:rPr>
        <w:t>a elección de los consejeros regionales, e</w:t>
      </w:r>
      <w:r w:rsidR="004A3460">
        <w:rPr>
          <w:rFonts w:ascii="Garamond" w:eastAsia="Times New Roman" w:hAnsi="Garamond" w:cs="Arial"/>
          <w:sz w:val="24"/>
          <w:szCs w:val="24"/>
          <w:lang w:val="es-ES" w:eastAsia="es-ES"/>
        </w:rPr>
        <w:t>l traspaso de competencias, y las demás acciones de descentralización que se han impulsado van en la dirección correcta para construir regiones más diversificad</w:t>
      </w:r>
      <w:r w:rsidR="00095DD7">
        <w:rPr>
          <w:rFonts w:ascii="Garamond" w:eastAsia="Times New Roman" w:hAnsi="Garamond" w:cs="Arial"/>
          <w:sz w:val="24"/>
          <w:szCs w:val="24"/>
          <w:lang w:val="es-ES" w:eastAsia="es-ES"/>
        </w:rPr>
        <w:t>a</w:t>
      </w:r>
      <w:r w:rsidR="004A3460">
        <w:rPr>
          <w:rFonts w:ascii="Garamond" w:eastAsia="Times New Roman" w:hAnsi="Garamond" w:cs="Arial"/>
          <w:sz w:val="24"/>
          <w:szCs w:val="24"/>
          <w:lang w:val="es-ES" w:eastAsia="es-ES"/>
        </w:rPr>
        <w:t>s económicamente</w:t>
      </w:r>
      <w:r w:rsidR="00C934E0">
        <w:rPr>
          <w:rFonts w:ascii="Garamond" w:eastAsia="Times New Roman" w:hAnsi="Garamond" w:cs="Arial"/>
          <w:sz w:val="24"/>
          <w:szCs w:val="24"/>
          <w:lang w:val="es-ES" w:eastAsia="es-ES"/>
        </w:rPr>
        <w:t xml:space="preserve"> y </w:t>
      </w:r>
      <w:r w:rsidR="004A3460">
        <w:rPr>
          <w:rFonts w:ascii="Garamond" w:eastAsia="Times New Roman" w:hAnsi="Garamond" w:cs="Arial"/>
          <w:sz w:val="24"/>
          <w:szCs w:val="24"/>
          <w:lang w:val="es-ES" w:eastAsia="es-ES"/>
        </w:rPr>
        <w:t>más ordenadas en sus territorios</w:t>
      </w:r>
      <w:r w:rsidR="00C934E0">
        <w:rPr>
          <w:rFonts w:ascii="Garamond" w:eastAsia="Times New Roman" w:hAnsi="Garamond" w:cs="Arial"/>
          <w:sz w:val="24"/>
          <w:szCs w:val="24"/>
          <w:lang w:val="es-ES" w:eastAsia="es-ES"/>
        </w:rPr>
        <w:t>; y con instituciones más inclusivas</w:t>
      </w:r>
      <w:r w:rsidR="004A3460">
        <w:rPr>
          <w:rFonts w:ascii="Garamond" w:eastAsia="Times New Roman" w:hAnsi="Garamond" w:cs="Arial"/>
          <w:sz w:val="24"/>
          <w:szCs w:val="24"/>
          <w:lang w:val="es-ES" w:eastAsia="es-ES"/>
        </w:rPr>
        <w:t xml:space="preserve">. </w:t>
      </w:r>
      <w:r w:rsidR="007C49EE">
        <w:rPr>
          <w:rFonts w:ascii="Garamond" w:eastAsia="Times New Roman" w:hAnsi="Garamond" w:cs="Arial"/>
          <w:sz w:val="24"/>
          <w:szCs w:val="24"/>
          <w:lang w:val="es-ES" w:eastAsia="es-ES"/>
        </w:rPr>
        <w:t xml:space="preserve">Esto debería significar una mejor asignación de los recursos en aquellas actividades económicas </w:t>
      </w:r>
      <w:r>
        <w:rPr>
          <w:rFonts w:ascii="Garamond" w:eastAsia="Times New Roman" w:hAnsi="Garamond" w:cs="Arial"/>
          <w:sz w:val="24"/>
          <w:szCs w:val="24"/>
          <w:lang w:val="es-ES" w:eastAsia="es-ES"/>
        </w:rPr>
        <w:t xml:space="preserve">que permitan a cada </w:t>
      </w:r>
      <w:r w:rsidR="00C934E0">
        <w:rPr>
          <w:rFonts w:ascii="Garamond" w:eastAsia="Times New Roman" w:hAnsi="Garamond" w:cs="Arial"/>
          <w:sz w:val="24"/>
          <w:szCs w:val="24"/>
          <w:lang w:val="es-ES" w:eastAsia="es-ES"/>
        </w:rPr>
        <w:t xml:space="preserve">territorio </w:t>
      </w:r>
      <w:r>
        <w:rPr>
          <w:rFonts w:ascii="Garamond" w:eastAsia="Times New Roman" w:hAnsi="Garamond" w:cs="Arial"/>
          <w:sz w:val="24"/>
          <w:szCs w:val="24"/>
          <w:lang w:val="es-ES" w:eastAsia="es-ES"/>
        </w:rPr>
        <w:t xml:space="preserve">aumentar su productividad, </w:t>
      </w:r>
      <w:r w:rsidR="007C49EE">
        <w:rPr>
          <w:rFonts w:ascii="Garamond" w:eastAsia="Times New Roman" w:hAnsi="Garamond" w:cs="Arial"/>
          <w:sz w:val="24"/>
          <w:szCs w:val="24"/>
          <w:lang w:val="es-ES" w:eastAsia="es-ES"/>
        </w:rPr>
        <w:t xml:space="preserve">y </w:t>
      </w:r>
      <w:r>
        <w:rPr>
          <w:rFonts w:ascii="Garamond" w:eastAsia="Times New Roman" w:hAnsi="Garamond" w:cs="Arial"/>
          <w:sz w:val="24"/>
          <w:szCs w:val="24"/>
          <w:lang w:val="es-ES" w:eastAsia="es-ES"/>
        </w:rPr>
        <w:t xml:space="preserve">a </w:t>
      </w:r>
      <w:r w:rsidR="00C934E0">
        <w:rPr>
          <w:rFonts w:ascii="Garamond" w:eastAsia="Times New Roman" w:hAnsi="Garamond" w:cs="Arial"/>
          <w:sz w:val="24"/>
          <w:szCs w:val="24"/>
          <w:lang w:val="es-ES" w:eastAsia="es-ES"/>
        </w:rPr>
        <w:t xml:space="preserve">los </w:t>
      </w:r>
      <w:r w:rsidR="007C49EE">
        <w:rPr>
          <w:rFonts w:ascii="Garamond" w:eastAsia="Times New Roman" w:hAnsi="Garamond" w:cs="Arial"/>
          <w:sz w:val="24"/>
          <w:szCs w:val="24"/>
          <w:lang w:val="es-ES" w:eastAsia="es-ES"/>
        </w:rPr>
        <w:t xml:space="preserve">sectores de la población </w:t>
      </w:r>
      <w:r>
        <w:rPr>
          <w:rFonts w:ascii="Garamond" w:eastAsia="Times New Roman" w:hAnsi="Garamond" w:cs="Arial"/>
          <w:sz w:val="24"/>
          <w:szCs w:val="24"/>
          <w:lang w:val="es-ES" w:eastAsia="es-ES"/>
        </w:rPr>
        <w:t xml:space="preserve">que puedan </w:t>
      </w:r>
      <w:r w:rsidR="00C934E0">
        <w:rPr>
          <w:rFonts w:ascii="Garamond" w:eastAsia="Times New Roman" w:hAnsi="Garamond" w:cs="Arial"/>
          <w:sz w:val="24"/>
          <w:szCs w:val="24"/>
          <w:lang w:val="es-ES" w:eastAsia="es-ES"/>
        </w:rPr>
        <w:t xml:space="preserve">mejorar </w:t>
      </w:r>
      <w:r>
        <w:rPr>
          <w:rFonts w:ascii="Garamond" w:eastAsia="Times New Roman" w:hAnsi="Garamond" w:cs="Arial"/>
          <w:sz w:val="24"/>
          <w:szCs w:val="24"/>
          <w:lang w:val="es-ES" w:eastAsia="es-ES"/>
        </w:rPr>
        <w:t>su</w:t>
      </w:r>
      <w:r w:rsidR="007C49EE">
        <w:rPr>
          <w:rFonts w:ascii="Garamond" w:eastAsia="Times New Roman" w:hAnsi="Garamond" w:cs="Arial"/>
          <w:sz w:val="24"/>
          <w:szCs w:val="24"/>
          <w:lang w:val="es-ES" w:eastAsia="es-ES"/>
        </w:rPr>
        <w:t xml:space="preserve"> bienestar</w:t>
      </w:r>
      <w:r>
        <w:rPr>
          <w:rFonts w:ascii="Garamond" w:eastAsia="Times New Roman" w:hAnsi="Garamond" w:cs="Arial"/>
          <w:sz w:val="24"/>
          <w:szCs w:val="24"/>
          <w:lang w:val="es-ES" w:eastAsia="es-ES"/>
        </w:rPr>
        <w:t>;</w:t>
      </w:r>
      <w:r w:rsidR="007C49EE">
        <w:rPr>
          <w:rFonts w:ascii="Garamond" w:eastAsia="Times New Roman" w:hAnsi="Garamond" w:cs="Arial"/>
          <w:sz w:val="24"/>
          <w:szCs w:val="24"/>
          <w:lang w:val="es-ES" w:eastAsia="es-ES"/>
        </w:rPr>
        <w:t xml:space="preserve"> y </w:t>
      </w:r>
      <w:r>
        <w:rPr>
          <w:rFonts w:ascii="Garamond" w:eastAsia="Times New Roman" w:hAnsi="Garamond" w:cs="Arial"/>
          <w:sz w:val="24"/>
          <w:szCs w:val="24"/>
          <w:lang w:val="es-ES" w:eastAsia="es-ES"/>
        </w:rPr>
        <w:t xml:space="preserve">de esa manera </w:t>
      </w:r>
      <w:r w:rsidR="007C49EE">
        <w:rPr>
          <w:rFonts w:ascii="Garamond" w:eastAsia="Times New Roman" w:hAnsi="Garamond" w:cs="Arial"/>
          <w:sz w:val="24"/>
          <w:szCs w:val="24"/>
          <w:lang w:val="es-ES" w:eastAsia="es-ES"/>
        </w:rPr>
        <w:t xml:space="preserve">elevar </w:t>
      </w:r>
      <w:r w:rsidR="00C934E0">
        <w:rPr>
          <w:rFonts w:ascii="Garamond" w:eastAsia="Times New Roman" w:hAnsi="Garamond" w:cs="Arial"/>
          <w:sz w:val="24"/>
          <w:szCs w:val="24"/>
          <w:lang w:val="es-ES" w:eastAsia="es-ES"/>
        </w:rPr>
        <w:t>la competitividad regional.</w:t>
      </w:r>
    </w:p>
    <w:sectPr w:rsidR="00F53879" w:rsidRPr="00C65BDB" w:rsidSect="00B222D7">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88C" w:rsidRDefault="006D188C" w:rsidP="00F25D19">
      <w:pPr>
        <w:spacing w:after="0" w:line="240" w:lineRule="auto"/>
      </w:pPr>
      <w:r>
        <w:separator/>
      </w:r>
    </w:p>
  </w:endnote>
  <w:endnote w:type="continuationSeparator" w:id="0">
    <w:p w:rsidR="006D188C" w:rsidRDefault="006D188C" w:rsidP="00F2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TPro-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148163"/>
      <w:docPartObj>
        <w:docPartGallery w:val="Page Numbers (Bottom of Page)"/>
        <w:docPartUnique/>
      </w:docPartObj>
    </w:sdtPr>
    <w:sdtEndPr/>
    <w:sdtContent>
      <w:p w:rsidR="00FE0458" w:rsidRDefault="00572633">
        <w:pPr>
          <w:pStyle w:val="Piedepgina"/>
          <w:jc w:val="right"/>
        </w:pPr>
        <w:r>
          <w:fldChar w:fldCharType="begin"/>
        </w:r>
        <w:r w:rsidR="00FE0458">
          <w:instrText>PAGE   \* MERGEFORMAT</w:instrText>
        </w:r>
        <w:r>
          <w:fldChar w:fldCharType="separate"/>
        </w:r>
        <w:r w:rsidR="007514A9" w:rsidRPr="007514A9">
          <w:rPr>
            <w:noProof/>
            <w:lang w:val="es-ES"/>
          </w:rPr>
          <w:t>1</w:t>
        </w:r>
        <w:r>
          <w:fldChar w:fldCharType="end"/>
        </w:r>
      </w:p>
    </w:sdtContent>
  </w:sdt>
  <w:p w:rsidR="00FE0458" w:rsidRDefault="00FE04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88C" w:rsidRDefault="006D188C" w:rsidP="00F25D19">
      <w:pPr>
        <w:spacing w:after="0" w:line="240" w:lineRule="auto"/>
      </w:pPr>
      <w:r>
        <w:separator/>
      </w:r>
    </w:p>
  </w:footnote>
  <w:footnote w:type="continuationSeparator" w:id="0">
    <w:p w:rsidR="006D188C" w:rsidRDefault="006D188C" w:rsidP="00F25D19">
      <w:pPr>
        <w:spacing w:after="0" w:line="240" w:lineRule="auto"/>
      </w:pPr>
      <w:r>
        <w:continuationSeparator/>
      </w:r>
    </w:p>
  </w:footnote>
  <w:footnote w:id="1">
    <w:p w:rsidR="00FE0458" w:rsidRPr="000E2DD0" w:rsidRDefault="00FE0458" w:rsidP="00737775">
      <w:pPr>
        <w:pStyle w:val="Textonotapie"/>
        <w:rPr>
          <w:rFonts w:ascii="Garamond" w:hAnsi="Garamond"/>
        </w:rPr>
      </w:pPr>
      <w:r>
        <w:rPr>
          <w:rStyle w:val="Refdenotaalpie"/>
        </w:rPr>
        <w:footnoteRef/>
      </w:r>
      <w:r w:rsidRPr="000E2DD0">
        <w:rPr>
          <w:rFonts w:ascii="Garamond" w:hAnsi="Garamond"/>
        </w:rPr>
        <w:t>Jorge Marshall. Los efectos del terremoto en perspectiva regional.  El Mercurio, 18 de mayo de 2010</w:t>
      </w:r>
    </w:p>
  </w:footnote>
  <w:footnote w:id="2">
    <w:p w:rsidR="00FE0458" w:rsidRPr="000E2DD0" w:rsidRDefault="00FE0458">
      <w:pPr>
        <w:pStyle w:val="Textonotapie"/>
        <w:rPr>
          <w:rFonts w:ascii="Garamond" w:hAnsi="Garamond"/>
        </w:rPr>
      </w:pPr>
      <w:r>
        <w:rPr>
          <w:rStyle w:val="Refdenotaalpie"/>
        </w:rPr>
        <w:footnoteRef/>
      </w:r>
      <w:r w:rsidRPr="000E2DD0">
        <w:rPr>
          <w:rFonts w:ascii="Garamond" w:hAnsi="Garamond"/>
        </w:rPr>
        <w:t>Acemoglu, Daron y Robinson, James A. WhyNationsFail. Crown Publishers, Nueva York, 2012</w:t>
      </w:r>
    </w:p>
  </w:footnote>
  <w:footnote w:id="3">
    <w:p w:rsidR="00FE0458" w:rsidRPr="000E2DD0" w:rsidRDefault="00FE0458" w:rsidP="00321FB8">
      <w:pPr>
        <w:pStyle w:val="Textonotapie"/>
        <w:rPr>
          <w:rFonts w:ascii="Garamond" w:hAnsi="Garamond"/>
        </w:rPr>
      </w:pPr>
      <w:r>
        <w:rPr>
          <w:rStyle w:val="Refdenotaalpie"/>
        </w:rPr>
        <w:footnoteRef/>
      </w:r>
      <w:r w:rsidRPr="000E2DD0">
        <w:rPr>
          <w:rFonts w:ascii="Garamond" w:hAnsi="Garamond"/>
        </w:rPr>
        <w:t xml:space="preserve">Promedio ponderado según la importancia media de cada región, entre 1985 y 2011. </w:t>
      </w:r>
    </w:p>
  </w:footnote>
  <w:footnote w:id="4">
    <w:p w:rsidR="00FE0458" w:rsidRPr="000E2DD0" w:rsidRDefault="00FE0458">
      <w:pPr>
        <w:pStyle w:val="Textonotapie"/>
        <w:rPr>
          <w:rFonts w:ascii="Garamond" w:hAnsi="Garamond"/>
        </w:rPr>
      </w:pPr>
      <w:r>
        <w:rPr>
          <w:rStyle w:val="Refdenotaalpie"/>
        </w:rPr>
        <w:footnoteRef/>
      </w:r>
      <w:r w:rsidRPr="000E2DD0">
        <w:rPr>
          <w:rFonts w:ascii="Garamond" w:hAnsi="Garamond"/>
        </w:rPr>
        <w:t>PIB per cápita = PIB / Población</w:t>
      </w:r>
    </w:p>
  </w:footnote>
  <w:footnote w:id="5">
    <w:p w:rsidR="00FE0458" w:rsidRPr="00B43F6A" w:rsidRDefault="00FE0458" w:rsidP="00B43F6A">
      <w:pPr>
        <w:pStyle w:val="Textonotapie"/>
        <w:rPr>
          <w:rFonts w:ascii="Garamond" w:hAnsi="Garamond"/>
        </w:rPr>
      </w:pPr>
      <w:r>
        <w:rPr>
          <w:rStyle w:val="Refdenotaalpie"/>
        </w:rPr>
        <w:footnoteRef/>
      </w:r>
      <w:r w:rsidRPr="00B43F6A">
        <w:rPr>
          <w:rFonts w:ascii="Garamond" w:hAnsi="Garamond"/>
        </w:rPr>
        <w:t>Participación en el PIB</w:t>
      </w:r>
      <w:r>
        <w:rPr>
          <w:rFonts w:ascii="Garamond" w:hAnsi="Garamond"/>
        </w:rPr>
        <w:t xml:space="preserve"> total del país</w:t>
      </w:r>
    </w:p>
  </w:footnote>
  <w:footnote w:id="6">
    <w:p w:rsidR="00FE0458" w:rsidRPr="009310DB" w:rsidRDefault="00FE0458">
      <w:pPr>
        <w:pStyle w:val="Textonotapie"/>
        <w:rPr>
          <w:rFonts w:ascii="Garamond" w:hAnsi="Garamond"/>
        </w:rPr>
      </w:pPr>
      <w:r>
        <w:rPr>
          <w:rStyle w:val="Refdenotaalpie"/>
        </w:rPr>
        <w:footnoteRef/>
      </w:r>
      <w:r w:rsidRPr="004021D5">
        <w:rPr>
          <w:rFonts w:ascii="Garamond" w:hAnsi="Garamond"/>
        </w:rPr>
        <w:t>Al cierre de esta edición el Banco Centra</w:t>
      </w:r>
      <w:r>
        <w:rPr>
          <w:rFonts w:ascii="Garamond" w:hAnsi="Garamond"/>
        </w:rPr>
        <w:t>l publicó los datos del 2012.</w:t>
      </w:r>
    </w:p>
  </w:footnote>
  <w:footnote w:id="7">
    <w:p w:rsidR="00FE0458" w:rsidRPr="000E2DD0" w:rsidRDefault="00FE0458" w:rsidP="005C050A">
      <w:pPr>
        <w:pStyle w:val="Textonotapie"/>
        <w:jc w:val="both"/>
        <w:rPr>
          <w:rFonts w:ascii="Garamond" w:hAnsi="Garamond"/>
        </w:rPr>
      </w:pPr>
      <w:r>
        <w:rPr>
          <w:rStyle w:val="Refdenotaalpie"/>
        </w:rPr>
        <w:footnoteRef/>
      </w:r>
      <w:r w:rsidRPr="000E2DD0">
        <w:rPr>
          <w:rFonts w:ascii="Garamond" w:hAnsi="Garamond"/>
        </w:rPr>
        <w:t xml:space="preserve">La diferencia entre el el PIB total y el PIB regionalizado, incluye IVA, derechos de importación y otros, y la mediana para esta diferencia en el período fue de 13,4%, aunque se ha ido reduciendo en el tiempo, alcanzando un 9,2% en el 2011. </w:t>
      </w:r>
    </w:p>
  </w:footnote>
  <w:footnote w:id="8">
    <w:p w:rsidR="00FE0458" w:rsidRPr="000E2DD0" w:rsidRDefault="00FE0458">
      <w:pPr>
        <w:pStyle w:val="Textonotapie"/>
        <w:rPr>
          <w:rFonts w:ascii="Garamond" w:hAnsi="Garamond"/>
        </w:rPr>
      </w:pPr>
      <w:r>
        <w:rPr>
          <w:rStyle w:val="Refdenotaalpie"/>
        </w:rPr>
        <w:footnoteRef/>
      </w:r>
      <w:r w:rsidRPr="000E2DD0">
        <w:rPr>
          <w:rFonts w:ascii="Garamond" w:hAnsi="Garamond"/>
        </w:rPr>
        <w:t>Crecen en mayor medida que el crecimiento del país.</w:t>
      </w:r>
    </w:p>
  </w:footnote>
  <w:footnote w:id="9">
    <w:p w:rsidR="00FE0458" w:rsidRPr="000E2DD0" w:rsidRDefault="00FE0458" w:rsidP="00575FD8">
      <w:pPr>
        <w:pStyle w:val="Textonotapie"/>
        <w:jc w:val="both"/>
        <w:rPr>
          <w:rFonts w:ascii="Garamond" w:hAnsi="Garamond"/>
        </w:rPr>
      </w:pPr>
      <w:r>
        <w:rPr>
          <w:rStyle w:val="Refdenotaalpie"/>
        </w:rPr>
        <w:footnoteRef/>
      </w:r>
      <w:r w:rsidRPr="000E2DD0">
        <w:rPr>
          <w:rFonts w:ascii="Garamond" w:hAnsi="Garamond"/>
        </w:rPr>
        <w:t>Se comparan las participaciones de las regiones del año 1985 y 2011, de acuerdo al PIB regionalizado con base 1986 y al PIB encadenado referencia 2008, respectivamente.</w:t>
      </w:r>
    </w:p>
  </w:footnote>
  <w:footnote w:id="10">
    <w:p w:rsidR="00FE0458" w:rsidRDefault="00FE0458" w:rsidP="00575FD8">
      <w:pPr>
        <w:pStyle w:val="Textonotapie"/>
        <w:jc w:val="both"/>
      </w:pPr>
      <w:r>
        <w:rPr>
          <w:rStyle w:val="Refdenotaalpie"/>
        </w:rPr>
        <w:footnoteRef/>
      </w:r>
      <w:r w:rsidRPr="000E2DD0">
        <w:rPr>
          <w:rFonts w:ascii="Garamond" w:hAnsi="Garamond"/>
        </w:rPr>
        <w:t>Participación de la minería en el PIB de Arica y Parinacota del año 2011.</w:t>
      </w:r>
    </w:p>
  </w:footnote>
  <w:footnote w:id="11">
    <w:p w:rsidR="00FE0458" w:rsidRPr="000E2DD0" w:rsidRDefault="00FE0458" w:rsidP="00575FD8">
      <w:pPr>
        <w:pStyle w:val="Textonotapie"/>
        <w:jc w:val="both"/>
        <w:rPr>
          <w:rFonts w:ascii="Garamond" w:hAnsi="Garamond"/>
        </w:rPr>
      </w:pPr>
      <w:r>
        <w:rPr>
          <w:rStyle w:val="Refdenotaalpie"/>
        </w:rPr>
        <w:footnoteRef/>
      </w:r>
      <w:r w:rsidRPr="000E2DD0">
        <w:rPr>
          <w:rFonts w:ascii="Garamond" w:hAnsi="Garamond"/>
        </w:rPr>
        <w:t>Actualmente la región de Arica y Parinacota representa el 20% de la agregación con la región de Tarapacá.</w:t>
      </w:r>
    </w:p>
  </w:footnote>
  <w:footnote w:id="12">
    <w:p w:rsidR="00FE0458" w:rsidRPr="000E2DD0" w:rsidRDefault="00FE0458" w:rsidP="00575FD8">
      <w:pPr>
        <w:pStyle w:val="Textonotapie"/>
        <w:jc w:val="both"/>
        <w:rPr>
          <w:rFonts w:ascii="Garamond" w:hAnsi="Garamond"/>
        </w:rPr>
      </w:pPr>
      <w:r>
        <w:rPr>
          <w:rStyle w:val="Refdenotaalpie"/>
        </w:rPr>
        <w:footnoteRef/>
      </w:r>
      <w:r w:rsidRPr="000E2DD0">
        <w:rPr>
          <w:rFonts w:ascii="Garamond" w:hAnsi="Garamond"/>
        </w:rPr>
        <w:t>En las regiones de Tarapacá y Los Los Lagos, se consideran sus territorios originales, incluyendo a Arica y Parinacota y Los Ríos, respectivamente, para efecto de poder establecer su evolución. Estas últimas regiones se crean en el 2007.</w:t>
      </w:r>
    </w:p>
  </w:footnote>
  <w:footnote w:id="13">
    <w:p w:rsidR="00FE0458" w:rsidRDefault="00FE0458" w:rsidP="007A4947">
      <w:pPr>
        <w:pStyle w:val="Textonotapie"/>
        <w:jc w:val="both"/>
      </w:pPr>
      <w:r>
        <w:rPr>
          <w:rStyle w:val="Refdenotaalpie"/>
        </w:rPr>
        <w:footnoteRef/>
      </w:r>
      <w:r w:rsidRPr="000E2DD0">
        <w:rPr>
          <w:rFonts w:ascii="Garamond" w:hAnsi="Garamond"/>
        </w:rPr>
        <w:t>Promedio entre los precios del BML (London Metal Exchange) y del COMEX (Commodity Exchange)</w:t>
      </w:r>
    </w:p>
  </w:footnote>
  <w:footnote w:id="14">
    <w:p w:rsidR="00FE0458" w:rsidRPr="000E2DD0" w:rsidRDefault="00FE0458" w:rsidP="00575FD8">
      <w:pPr>
        <w:pStyle w:val="Textonotapie"/>
        <w:jc w:val="both"/>
        <w:rPr>
          <w:rFonts w:ascii="Garamond" w:hAnsi="Garamond"/>
        </w:rPr>
      </w:pPr>
      <w:r>
        <w:rPr>
          <w:rStyle w:val="Refdenotaalpie"/>
        </w:rPr>
        <w:footnoteRef/>
      </w:r>
      <w:r w:rsidRPr="000E2DD0">
        <w:rPr>
          <w:rFonts w:ascii="Garamond" w:hAnsi="Garamond"/>
        </w:rPr>
        <w:t>Según el PIB del año 2011.</w:t>
      </w:r>
    </w:p>
  </w:footnote>
  <w:footnote w:id="15">
    <w:p w:rsidR="00FE0458" w:rsidRPr="000E2DD0" w:rsidRDefault="00FE0458" w:rsidP="00575FD8">
      <w:pPr>
        <w:pStyle w:val="Textonotapie"/>
        <w:jc w:val="both"/>
        <w:rPr>
          <w:rFonts w:ascii="Garamond" w:hAnsi="Garamond"/>
        </w:rPr>
      </w:pPr>
      <w:r>
        <w:rPr>
          <w:rStyle w:val="Refdenotaalpie"/>
        </w:rPr>
        <w:footnoteRef/>
      </w:r>
      <w:r w:rsidRPr="000E2DD0">
        <w:rPr>
          <w:rFonts w:ascii="Garamond" w:hAnsi="Garamond"/>
        </w:rPr>
        <w:t>La Minería representó el 2011, el 13,4% del total del PIB.</w:t>
      </w:r>
    </w:p>
  </w:footnote>
  <w:footnote w:id="16">
    <w:p w:rsidR="00FE0458" w:rsidRPr="000E2DD0" w:rsidRDefault="00FE0458" w:rsidP="00407A1E">
      <w:pPr>
        <w:spacing w:after="0"/>
        <w:rPr>
          <w:rFonts w:ascii="Garamond" w:hAnsi="Garamond"/>
          <w:sz w:val="20"/>
          <w:szCs w:val="20"/>
        </w:rPr>
      </w:pPr>
      <w:r>
        <w:rPr>
          <w:rStyle w:val="Refdenotaalpie"/>
        </w:rPr>
        <w:footnoteRef/>
      </w:r>
      <w:r w:rsidRPr="000E2DD0">
        <w:rPr>
          <w:rFonts w:ascii="Garamond" w:hAnsi="Garamond"/>
          <w:sz w:val="20"/>
          <w:szCs w:val="20"/>
        </w:rPr>
        <w:t xml:space="preserve">Indice de Especialización Balassa – Hoover  = </w:t>
      </w:r>
    </w:p>
    <w:p w:rsidR="00FE0458" w:rsidRPr="007A4947" w:rsidRDefault="00FE0458" w:rsidP="00407A1E">
      <w:pPr>
        <w:pStyle w:val="Textonotapie"/>
      </w:pPr>
      <w:r>
        <w:rPr>
          <w:noProof/>
          <w:lang w:eastAsia="es-CL"/>
        </w:rPr>
        <w:drawing>
          <wp:inline distT="0" distB="0" distL="0" distR="0" wp14:anchorId="50D9D600" wp14:editId="4FF3B0A4">
            <wp:extent cx="438150" cy="295275"/>
            <wp:effectExtent l="0" t="0" r="0" b="9525"/>
            <wp:docPr id="7"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E0458" w:rsidRPr="000E2DD0" w:rsidRDefault="00FE0458" w:rsidP="00D05351">
      <w:pPr>
        <w:spacing w:after="0"/>
        <w:jc w:val="both"/>
        <w:rPr>
          <w:rFonts w:ascii="Garamond" w:hAnsi="Garamond"/>
          <w:sz w:val="20"/>
          <w:szCs w:val="20"/>
        </w:rPr>
      </w:pPr>
      <w:r w:rsidRPr="000E2DD0">
        <w:rPr>
          <w:rFonts w:ascii="Garamond" w:hAnsi="Garamond"/>
          <w:sz w:val="20"/>
          <w:szCs w:val="20"/>
        </w:rPr>
        <w:t>Dónde: Eij = empleo total de la actividad i en la región j; Ej = total del empleo en la región j; Ei = total del empleo del país en la actividad i; y E = empleo total del país.. Citado por Estudios Territoriales de la OCDE. Chile. 2009</w:t>
      </w:r>
    </w:p>
  </w:footnote>
  <w:footnote w:id="17">
    <w:p w:rsidR="00FE0458" w:rsidRPr="000E2DD0" w:rsidRDefault="00FE0458" w:rsidP="00575FD8">
      <w:pPr>
        <w:pStyle w:val="Textonotapie"/>
        <w:jc w:val="both"/>
        <w:rPr>
          <w:rFonts w:ascii="Garamond" w:hAnsi="Garamond"/>
        </w:rPr>
      </w:pPr>
      <w:r>
        <w:rPr>
          <w:rStyle w:val="Refdenotaalpie"/>
        </w:rPr>
        <w:footnoteRef/>
      </w:r>
      <w:r w:rsidRPr="000E2DD0">
        <w:rPr>
          <w:rFonts w:ascii="Garamond" w:hAnsi="Garamond"/>
        </w:rPr>
        <w:t>La actividad Agropecuario – silvícola representó el 2011, el 3,1% del PIB.</w:t>
      </w:r>
    </w:p>
  </w:footnote>
  <w:footnote w:id="18">
    <w:p w:rsidR="00FE0458" w:rsidRPr="000E2DD0" w:rsidRDefault="00FE0458" w:rsidP="00575FD8">
      <w:pPr>
        <w:pStyle w:val="Textonotapie"/>
        <w:jc w:val="both"/>
        <w:rPr>
          <w:rFonts w:ascii="Garamond" w:hAnsi="Garamond"/>
        </w:rPr>
      </w:pPr>
      <w:r>
        <w:rPr>
          <w:rStyle w:val="Refdenotaalpie"/>
        </w:rPr>
        <w:footnoteRef/>
      </w:r>
      <w:r w:rsidRPr="000E2DD0">
        <w:rPr>
          <w:rFonts w:ascii="Garamond" w:hAnsi="Garamond"/>
        </w:rPr>
        <w:t>La Pesca significó el 0,4% del PIB en el 2011.</w:t>
      </w:r>
    </w:p>
  </w:footnote>
  <w:footnote w:id="19">
    <w:p w:rsidR="00FE0458" w:rsidRDefault="00FE0458">
      <w:pPr>
        <w:pStyle w:val="Textonotapie"/>
      </w:pPr>
      <w:r>
        <w:rPr>
          <w:rStyle w:val="Refdenotaalpie"/>
        </w:rPr>
        <w:footnoteRef/>
      </w:r>
      <w:r>
        <w:t xml:space="preserve"> Ramos, J. “El desarrollo exportador chileno,: Evolución y perspectivas “ Serie Documentos de Trabajo N° 289. Departamento de Economía, Universidad de Chile. 2008.</w:t>
      </w:r>
    </w:p>
  </w:footnote>
  <w:footnote w:id="20">
    <w:p w:rsidR="00FE0458" w:rsidRDefault="00FE0458">
      <w:pPr>
        <w:pStyle w:val="Textonotapie"/>
      </w:pPr>
      <w:r>
        <w:rPr>
          <w:rStyle w:val="Refdenotaalpie"/>
        </w:rPr>
        <w:footnoteRef/>
      </w:r>
      <w:r>
        <w:t xml:space="preserve"> Meller, P. “Estrategias de Desarrollo y Rol del Cobre”, en P. Meller, La Viga Maestra y el Sueldo de Chile. Upbar Editores, Junio de 2013</w:t>
      </w:r>
    </w:p>
  </w:footnote>
  <w:footnote w:id="21">
    <w:p w:rsidR="00FE0458" w:rsidRDefault="00FE0458" w:rsidP="00FA700E">
      <w:pPr>
        <w:pStyle w:val="Textonotapie"/>
      </w:pPr>
      <w:r>
        <w:rPr>
          <w:rStyle w:val="Refdenotaalpie"/>
        </w:rPr>
        <w:footnoteRef/>
      </w:r>
      <w:r>
        <w:t>WorldEconomicForum, Iniciativa para el Desarrollo de la Minería Responsable 2013.</w:t>
      </w:r>
    </w:p>
  </w:footnote>
  <w:footnote w:id="22">
    <w:p w:rsidR="00FE0458" w:rsidRPr="006B1365" w:rsidRDefault="00FE0458" w:rsidP="00AA08B0">
      <w:pPr>
        <w:pStyle w:val="Textonotapie"/>
        <w:jc w:val="both"/>
      </w:pPr>
      <w:r>
        <w:rPr>
          <w:rStyle w:val="Refdenotaalpie"/>
        </w:rPr>
        <w:footnoteRef/>
      </w:r>
      <w:r w:rsidRPr="000E2DD0">
        <w:rPr>
          <w:rFonts w:ascii="Garamond" w:hAnsi="Garamond"/>
        </w:rPr>
        <w:t>Las personas trabajan en una región, pero su hogar y familia permanece en otra región, en la se realizan la mayoría de los gastos.</w:t>
      </w:r>
    </w:p>
  </w:footnote>
  <w:footnote w:id="23">
    <w:p w:rsidR="00FE0458" w:rsidRPr="000E2DD0" w:rsidRDefault="00FE0458">
      <w:pPr>
        <w:pStyle w:val="Textonotapie"/>
        <w:rPr>
          <w:rFonts w:ascii="Garamond" w:hAnsi="Garamond"/>
        </w:rPr>
      </w:pPr>
      <w:r>
        <w:rPr>
          <w:rStyle w:val="Refdenotaalpie"/>
        </w:rPr>
        <w:footnoteRef/>
      </w:r>
      <w:r w:rsidRPr="000E2DD0">
        <w:rPr>
          <w:rFonts w:ascii="Garamond" w:hAnsi="Garamond"/>
        </w:rPr>
        <w:t>Desocupación = Fuerza de Trabajo - Ocupación</w:t>
      </w:r>
    </w:p>
  </w:footnote>
  <w:footnote w:id="24">
    <w:p w:rsidR="00FE0458" w:rsidRPr="000E2DD0" w:rsidRDefault="00FE0458" w:rsidP="00AA08B0">
      <w:pPr>
        <w:pStyle w:val="Textonotapie"/>
        <w:jc w:val="both"/>
        <w:rPr>
          <w:rFonts w:ascii="Garamond" w:hAnsi="Garamond"/>
        </w:rPr>
      </w:pPr>
      <w:r>
        <w:rPr>
          <w:rStyle w:val="Refdenotaalpie"/>
        </w:rPr>
        <w:footnoteRef/>
      </w:r>
      <w:r w:rsidRPr="000E2DD0">
        <w:rPr>
          <w:rFonts w:ascii="Garamond" w:hAnsi="Garamond"/>
        </w:rPr>
        <w:t>La tasa de desempleo se obtiene del cociente entre la desocupación y la fuerza de trabajo, y mientras el numerador se mantiene prácticamente constante, el denominador crece casi 2 veces.</w:t>
      </w:r>
    </w:p>
  </w:footnote>
  <w:footnote w:id="25">
    <w:p w:rsidR="00FE0458" w:rsidRDefault="00FE0458" w:rsidP="00861A41">
      <w:pPr>
        <w:pStyle w:val="Textonotapie"/>
        <w:jc w:val="both"/>
      </w:pPr>
      <w:r>
        <w:rPr>
          <w:rStyle w:val="Refdenotaalpie"/>
        </w:rPr>
        <w:footnoteRef/>
      </w:r>
      <w:r w:rsidRPr="00861A41">
        <w:rPr>
          <w:rFonts w:ascii="Garamond" w:hAnsi="Garamond"/>
        </w:rPr>
        <w:t>Cabe señalar que a partir del año 2010 se modificó la metodología de estimación del empleo, por lo tanto, no son exactamente comparables los datos en el tiempo.</w:t>
      </w:r>
    </w:p>
  </w:footnote>
  <w:footnote w:id="26">
    <w:p w:rsidR="00FE0458" w:rsidRPr="002C6F2B" w:rsidRDefault="00FE0458" w:rsidP="00C1631C">
      <w:pPr>
        <w:pStyle w:val="Textonotapie"/>
        <w:rPr>
          <w:rFonts w:ascii="Garamond" w:hAnsi="Garamond"/>
        </w:rPr>
      </w:pPr>
      <w:r>
        <w:rPr>
          <w:rStyle w:val="Refdenotaalpie"/>
        </w:rPr>
        <w:footnoteRef/>
      </w:r>
      <w:r w:rsidRPr="002C6F2B">
        <w:rPr>
          <w:rFonts w:ascii="Garamond" w:hAnsi="Garamond"/>
        </w:rPr>
        <w:t>Aroca, P. &amp;Atienza, M. (2008). La conmutación regional en Chile y su impacto en la Región de Antofagasta. EURE, 34(102), 97–121. doi: 10.4067/S0250-71612008000200006.</w:t>
      </w:r>
    </w:p>
  </w:footnote>
  <w:footnote w:id="27">
    <w:p w:rsidR="00FE0458" w:rsidRDefault="00FE0458" w:rsidP="00011821">
      <w:pPr>
        <w:pStyle w:val="Textonotapie"/>
        <w:jc w:val="both"/>
      </w:pPr>
      <w:r>
        <w:rPr>
          <w:rStyle w:val="Refdenotaalpie"/>
        </w:rPr>
        <w:footnoteRef/>
      </w:r>
      <w:r w:rsidRPr="00155B42">
        <w:rPr>
          <w:rFonts w:ascii="Garamond" w:hAnsi="Garamond"/>
        </w:rPr>
        <w:t xml:space="preserve">O tasa negativa de conmutación. </w:t>
      </w:r>
      <w:r w:rsidRPr="00011821">
        <w:rPr>
          <w:rFonts w:ascii="Garamond" w:hAnsi="Garamond"/>
        </w:rPr>
        <w:t>El número de trabajadores que tiene su residencia en Coquimbo</w:t>
      </w:r>
      <w:r>
        <w:rPr>
          <w:rFonts w:ascii="Garamond" w:hAnsi="Garamond"/>
        </w:rPr>
        <w:t xml:space="preserve"> y</w:t>
      </w:r>
      <w:r w:rsidRPr="00011821">
        <w:rPr>
          <w:rFonts w:ascii="Garamond" w:hAnsi="Garamond"/>
        </w:rPr>
        <w:t xml:space="preserve"> trabaja en otra región, supera a aquellos trabajadores que trabajan en  esa región y viven fuera de ella; como sería el caso de las otras regiones mineras</w:t>
      </w:r>
      <w:r>
        <w:t xml:space="preserve">.  </w:t>
      </w:r>
    </w:p>
  </w:footnote>
  <w:footnote w:id="28">
    <w:p w:rsidR="00FE0458" w:rsidRPr="000E2DD0" w:rsidRDefault="00FE0458" w:rsidP="00C5108C">
      <w:pPr>
        <w:pStyle w:val="Textonotapie"/>
        <w:jc w:val="both"/>
        <w:rPr>
          <w:rFonts w:ascii="Garamond" w:hAnsi="Garamond"/>
        </w:rPr>
      </w:pPr>
      <w:r>
        <w:rPr>
          <w:rStyle w:val="Refdenotaalpie"/>
        </w:rPr>
        <w:footnoteRef/>
      </w:r>
      <w:r w:rsidRPr="000E2DD0">
        <w:rPr>
          <w:rFonts w:ascii="Garamond" w:hAnsi="Garamond"/>
        </w:rPr>
        <w:t>Nueva Encuesta Suplementaria de Ingresos, INE. Incluye solo Ingresos del Trabajo Principal, y excluye Ingresos por Otros Trabajos y Otras Fuentes. Se refiere a los Ocupados cuyo empleo actual en la semana de referencia es el mismo que tenía el mes anterior</w:t>
      </w:r>
    </w:p>
    <w:p w:rsidR="00FE0458" w:rsidRPr="00C5108C" w:rsidRDefault="00FE0458">
      <w:pPr>
        <w:pStyle w:val="Textonotapie"/>
        <w:rPr>
          <w:lang w:val="es-AR"/>
        </w:rPr>
      </w:pPr>
    </w:p>
  </w:footnote>
  <w:footnote w:id="29">
    <w:p w:rsidR="00FE0458" w:rsidRDefault="00FE0458">
      <w:pPr>
        <w:pStyle w:val="Textonotapie"/>
      </w:pPr>
      <w:r>
        <w:rPr>
          <w:rStyle w:val="Refdenotaalpie"/>
        </w:rPr>
        <w:footnoteRef/>
      </w:r>
      <w:r w:rsidRPr="00E617C3">
        <w:rPr>
          <w:rFonts w:ascii="Garamond" w:hAnsi="Garamond"/>
        </w:rPr>
        <w:t>Inversión regional / Inversión total país</w:t>
      </w:r>
    </w:p>
  </w:footnote>
  <w:footnote w:id="30">
    <w:p w:rsidR="00FE0458" w:rsidRPr="000E2DD0" w:rsidRDefault="00FE0458">
      <w:pPr>
        <w:pStyle w:val="Textonotapie"/>
        <w:rPr>
          <w:rFonts w:ascii="Garamond" w:hAnsi="Garamond"/>
        </w:rPr>
      </w:pPr>
      <w:r>
        <w:rPr>
          <w:rStyle w:val="Refdenotaalpie"/>
        </w:rPr>
        <w:footnoteRef/>
      </w:r>
      <w:r w:rsidRPr="000E2DD0">
        <w:rPr>
          <w:rFonts w:ascii="Garamond" w:hAnsi="Garamond"/>
        </w:rPr>
        <w:t xml:space="preserve">Proyección de población oficial en base al Censo de 2002. </w:t>
      </w:r>
    </w:p>
  </w:footnote>
  <w:footnote w:id="31">
    <w:p w:rsidR="00FE0458" w:rsidRPr="00F97E84" w:rsidRDefault="00FE0458">
      <w:pPr>
        <w:pStyle w:val="Textonotapie"/>
      </w:pPr>
      <w:r>
        <w:rPr>
          <w:rStyle w:val="Refdenotaalpie"/>
        </w:rPr>
        <w:footnoteRef/>
      </w:r>
      <w:r w:rsidRPr="000E2DD0">
        <w:rPr>
          <w:rFonts w:ascii="Garamond" w:hAnsi="Garamond"/>
        </w:rPr>
        <w:t>Incluye inversión en más de una región y no clasificada territorialmente.</w:t>
      </w:r>
    </w:p>
  </w:footnote>
  <w:footnote w:id="32">
    <w:p w:rsidR="00FE0458" w:rsidRPr="003C28EB" w:rsidRDefault="00FE0458">
      <w:pPr>
        <w:pStyle w:val="Textonotapie"/>
      </w:pPr>
      <w:r>
        <w:rPr>
          <w:rStyle w:val="Refdenotaalpie"/>
        </w:rPr>
        <w:footnoteRef/>
      </w:r>
      <w:r w:rsidRPr="000E2DD0">
        <w:rPr>
          <w:rFonts w:ascii="Garamond" w:hAnsi="Garamond"/>
        </w:rPr>
        <w:t>Proyección del 2º trimestre del 2013</w:t>
      </w:r>
      <w:r>
        <w:rPr>
          <w:rFonts w:ascii="Garamond" w:hAnsi="Garamond"/>
        </w:rPr>
        <w:t>, para proyectos que superan US$ 5 millones, con la excepción de proyectos inmobiliarios, que superan US$ 15 millones</w:t>
      </w:r>
      <w:r w:rsidRPr="000E2DD0">
        <w:rPr>
          <w:rFonts w:ascii="Garamond" w:hAnsi="Garamond"/>
        </w:rPr>
        <w:t>.</w:t>
      </w:r>
    </w:p>
  </w:footnote>
  <w:footnote w:id="33">
    <w:p w:rsidR="00FE0458" w:rsidRPr="00D06F16" w:rsidRDefault="00FE0458">
      <w:pPr>
        <w:pStyle w:val="Textonotapie"/>
        <w:rPr>
          <w:rFonts w:ascii="Garamond" w:hAnsi="Garamond"/>
        </w:rPr>
      </w:pPr>
      <w:r>
        <w:rPr>
          <w:rStyle w:val="Refdenotaalpie"/>
        </w:rPr>
        <w:footnoteRef/>
      </w:r>
      <w:r w:rsidRPr="00D06F16">
        <w:rPr>
          <w:rFonts w:ascii="Garamond" w:hAnsi="Garamond"/>
        </w:rPr>
        <w:t>Al respecto, se puede considerar la función Cobb Douglas:</w:t>
      </w:r>
      <w:r>
        <w:t xml:space="preserve"> Y = A*K</w:t>
      </w:r>
      <w:r w:rsidRPr="00D06F16">
        <w:rPr>
          <w:vertAlign w:val="superscript"/>
        </w:rPr>
        <w:t>a</w:t>
      </w:r>
      <w:r w:rsidRPr="00D06F16">
        <w:t>*</w:t>
      </w:r>
      <w:r>
        <w:t>L</w:t>
      </w:r>
      <w:r w:rsidRPr="00D06F16">
        <w:rPr>
          <w:vertAlign w:val="superscript"/>
        </w:rPr>
        <w:t>(1-a)</w:t>
      </w:r>
      <w:r>
        <w:t xml:space="preserve">, </w:t>
      </w:r>
      <w:r w:rsidRPr="00D06F16">
        <w:rPr>
          <w:rFonts w:ascii="Garamond" w:hAnsi="Garamond"/>
        </w:rPr>
        <w:t>donde Y es el producto, K, capital y L</w:t>
      </w:r>
      <w:r>
        <w:rPr>
          <w:rFonts w:ascii="Garamond" w:hAnsi="Garamond"/>
        </w:rPr>
        <w:t>,</w:t>
      </w:r>
      <w:r w:rsidRPr="00D06F16">
        <w:rPr>
          <w:rFonts w:ascii="Garamond" w:hAnsi="Garamond"/>
        </w:rPr>
        <w:t xml:space="preserve"> trabajo.</w:t>
      </w:r>
    </w:p>
  </w:footnote>
  <w:footnote w:id="34">
    <w:p w:rsidR="00FE0458" w:rsidRPr="000E2DD0" w:rsidRDefault="00FE0458" w:rsidP="001A79F7">
      <w:pPr>
        <w:spacing w:line="240" w:lineRule="auto"/>
        <w:jc w:val="both"/>
        <w:rPr>
          <w:rFonts w:ascii="Garamond" w:hAnsi="Garamond"/>
          <w:sz w:val="20"/>
          <w:szCs w:val="20"/>
        </w:rPr>
      </w:pPr>
      <w:r>
        <w:rPr>
          <w:rStyle w:val="Refdenotaalpie"/>
        </w:rPr>
        <w:footnoteRef/>
      </w:r>
      <w:r w:rsidRPr="000E2DD0">
        <w:rPr>
          <w:rFonts w:ascii="Garamond" w:hAnsi="Garamond"/>
          <w:sz w:val="20"/>
          <w:szCs w:val="20"/>
        </w:rPr>
        <w:t>De acuerdo a datos del SII según la facturación de las empresas. La clasificación se realiza de acuerdo a los niveles de ventas: Microempresa: hasta UF 2.400; Pequeña Empresa: entre UF 2.400 y 25.000; Mediana Empresa: entre UF 25.001 y 100.000; y Gran Empresa: mayor que UF 100.000</w:t>
      </w:r>
      <w:r>
        <w:rPr>
          <w:rFonts w:ascii="Garamond" w:hAnsi="Garamond"/>
          <w:sz w:val="20"/>
          <w:szCs w:val="20"/>
        </w:rPr>
        <w:t>.</w:t>
      </w:r>
    </w:p>
    <w:p w:rsidR="00FE0458" w:rsidRPr="004D1D31" w:rsidRDefault="00FE0458">
      <w:pPr>
        <w:pStyle w:val="Textonotapie"/>
      </w:pPr>
    </w:p>
  </w:footnote>
  <w:footnote w:id="35">
    <w:p w:rsidR="00FE0458" w:rsidRDefault="00FE0458">
      <w:pPr>
        <w:pStyle w:val="Textonotapie"/>
      </w:pPr>
      <w:r>
        <w:rPr>
          <w:rStyle w:val="Refdenotaalpie"/>
        </w:rPr>
        <w:footnoteRef/>
      </w:r>
      <w:r w:rsidRPr="004A59DD">
        <w:rPr>
          <w:rFonts w:ascii="Garamond" w:hAnsi="Garamond"/>
        </w:rPr>
        <w:t>Se refiere a la participación en el PIB, que se diferencia del PIB regionalizado</w:t>
      </w:r>
      <w:r>
        <w:t>.</w:t>
      </w:r>
    </w:p>
  </w:footnote>
  <w:footnote w:id="36">
    <w:p w:rsidR="00FE0458" w:rsidRPr="00966941" w:rsidRDefault="00FE0458" w:rsidP="00C3643B">
      <w:pPr>
        <w:pStyle w:val="Textonotapie"/>
      </w:pPr>
      <w:r>
        <w:rPr>
          <w:rStyle w:val="Refdenotaalpie"/>
        </w:rPr>
        <w:footnoteRef/>
      </w:r>
      <w:r w:rsidRPr="000E2DD0">
        <w:rPr>
          <w:rFonts w:ascii="Garamond" w:hAnsi="Garamond"/>
        </w:rPr>
        <w:t>Este último dato es referencial por el cambio de metodología en el tiempo</w:t>
      </w:r>
    </w:p>
  </w:footnote>
  <w:footnote w:id="37">
    <w:p w:rsidR="00FE0458" w:rsidRPr="00BE3D2E" w:rsidRDefault="00FE0458">
      <w:pPr>
        <w:pStyle w:val="Textonotapie"/>
        <w:rPr>
          <w:rFonts w:ascii="Garamond" w:hAnsi="Garamond"/>
        </w:rPr>
      </w:pPr>
      <w:r>
        <w:rPr>
          <w:rStyle w:val="Refdenotaalpie"/>
        </w:rPr>
        <w:footnoteRef/>
      </w:r>
      <w:r w:rsidRPr="00BE3D2E">
        <w:rPr>
          <w:rFonts w:ascii="Garamond" w:hAnsi="Garamond"/>
        </w:rPr>
        <w:t>Se compara la ventas de supermercados región i / ventas de supermercados país, versus la población región i / total de la población chilena.</w:t>
      </w:r>
    </w:p>
  </w:footnote>
  <w:footnote w:id="38">
    <w:p w:rsidR="00FE0458" w:rsidRDefault="00FE0458">
      <w:pPr>
        <w:pStyle w:val="Textonotapie"/>
      </w:pPr>
      <w:r>
        <w:rPr>
          <w:rStyle w:val="Refdenotaalpie"/>
        </w:rPr>
        <w:footnoteRef/>
      </w:r>
      <w:r w:rsidRPr="00BE3D2E">
        <w:rPr>
          <w:rFonts w:ascii="Garamond" w:hAnsi="Garamond"/>
        </w:rPr>
        <w:t xml:space="preserve">Se compara </w:t>
      </w:r>
      <w:r>
        <w:rPr>
          <w:rFonts w:ascii="Garamond" w:hAnsi="Garamond"/>
        </w:rPr>
        <w:t>las v</w:t>
      </w:r>
      <w:r w:rsidRPr="006B0C11">
        <w:rPr>
          <w:rFonts w:ascii="Garamond" w:hAnsi="Garamond"/>
        </w:rPr>
        <w:t xml:space="preserve">entas de </w:t>
      </w:r>
      <w:r>
        <w:rPr>
          <w:rFonts w:ascii="Garamond" w:hAnsi="Garamond"/>
        </w:rPr>
        <w:t>s</w:t>
      </w:r>
      <w:r w:rsidRPr="006B0C11">
        <w:rPr>
          <w:rFonts w:ascii="Garamond" w:hAnsi="Garamond"/>
        </w:rPr>
        <w:t xml:space="preserve">upermercados </w:t>
      </w:r>
      <w:r>
        <w:rPr>
          <w:rFonts w:ascii="Garamond" w:hAnsi="Garamond"/>
        </w:rPr>
        <w:t xml:space="preserve">región i </w:t>
      </w:r>
      <w:r w:rsidRPr="006B0C11">
        <w:rPr>
          <w:rFonts w:ascii="Garamond" w:hAnsi="Garamond"/>
        </w:rPr>
        <w:t>/</w:t>
      </w:r>
      <w:r>
        <w:rPr>
          <w:rFonts w:ascii="Garamond" w:hAnsi="Garamond"/>
        </w:rPr>
        <w:t xml:space="preserve"> ventas de supermercados país versus </w:t>
      </w:r>
      <w:r w:rsidRPr="006B0C11">
        <w:rPr>
          <w:rFonts w:ascii="Garamond" w:hAnsi="Garamond"/>
        </w:rPr>
        <w:t>PIB</w:t>
      </w:r>
      <w:r>
        <w:rPr>
          <w:rFonts w:ascii="Garamond" w:hAnsi="Garamond"/>
        </w:rPr>
        <w:t xml:space="preserve"> región i / PIB país.</w:t>
      </w:r>
    </w:p>
  </w:footnote>
  <w:footnote w:id="39">
    <w:p w:rsidR="00FE0458" w:rsidRPr="000E2DD0" w:rsidRDefault="00FE0458">
      <w:pPr>
        <w:pStyle w:val="Textonotapie"/>
        <w:rPr>
          <w:rFonts w:ascii="Garamond" w:hAnsi="Garamond"/>
        </w:rPr>
      </w:pPr>
      <w:r>
        <w:rPr>
          <w:rStyle w:val="Refdenotaalpie"/>
        </w:rPr>
        <w:footnoteRef/>
      </w:r>
      <w:r w:rsidRPr="000E2DD0">
        <w:rPr>
          <w:rFonts w:ascii="Garamond" w:hAnsi="Garamond"/>
        </w:rPr>
        <w:t xml:space="preserve">Se excluyen aquellos que existían con anterioridad a la Ley 19.995. </w:t>
      </w:r>
    </w:p>
  </w:footnote>
  <w:footnote w:id="40">
    <w:p w:rsidR="00FE0458" w:rsidRPr="000E2DD0" w:rsidRDefault="00FE0458">
      <w:pPr>
        <w:pStyle w:val="Textonotapie"/>
        <w:rPr>
          <w:rFonts w:ascii="Garamond" w:hAnsi="Garamond"/>
        </w:rPr>
      </w:pPr>
      <w:r>
        <w:rPr>
          <w:rStyle w:val="Refdenotaalpie"/>
        </w:rPr>
        <w:footnoteRef/>
      </w:r>
      <w:r w:rsidRPr="000E2DD0">
        <w:rPr>
          <w:rFonts w:ascii="Garamond" w:hAnsi="Garamond"/>
        </w:rPr>
        <w:t>Se refiere a conexiones fijas (conmutadas y dedicadas)</w:t>
      </w:r>
    </w:p>
  </w:footnote>
  <w:footnote w:id="41">
    <w:p w:rsidR="00FE0458" w:rsidRPr="00FA4735" w:rsidRDefault="00FE0458" w:rsidP="00BF6ABF">
      <w:pPr>
        <w:pStyle w:val="Textonotapie"/>
        <w:jc w:val="both"/>
        <w:rPr>
          <w:rFonts w:ascii="Garamond" w:hAnsi="Garamond"/>
        </w:rPr>
      </w:pPr>
      <w:r>
        <w:rPr>
          <w:rStyle w:val="Refdenotaalpie"/>
        </w:rPr>
        <w:footnoteRef/>
      </w:r>
      <w:r w:rsidRPr="00FA4735">
        <w:rPr>
          <w:rFonts w:ascii="Garamond" w:hAnsi="Garamond"/>
        </w:rPr>
        <w:t xml:space="preserve">Esta situación de La Araucanía se debe al gran número de pequeñas propiedades agrícolas </w:t>
      </w:r>
      <w:r>
        <w:rPr>
          <w:rFonts w:ascii="Garamond" w:hAnsi="Garamond"/>
        </w:rPr>
        <w:t xml:space="preserve">(PPA) </w:t>
      </w:r>
      <w:r w:rsidRPr="00FA4735">
        <w:rPr>
          <w:rFonts w:ascii="Garamond" w:hAnsi="Garamond"/>
        </w:rPr>
        <w:t xml:space="preserve">y de comunidades indígenas, para las cuales existe </w:t>
      </w:r>
      <w:r>
        <w:rPr>
          <w:rFonts w:ascii="Garamond" w:hAnsi="Garamond"/>
        </w:rPr>
        <w:t xml:space="preserve">el programa </w:t>
      </w:r>
      <w:r w:rsidRPr="00BF6ABF">
        <w:rPr>
          <w:rFonts w:ascii="Garamond" w:hAnsi="Garamond"/>
        </w:rPr>
        <w:t xml:space="preserve">de mejoramiento de caminos indígenas </w:t>
      </w:r>
      <w:r w:rsidRPr="00FA4735">
        <w:rPr>
          <w:rFonts w:ascii="Garamond" w:hAnsi="Garamond"/>
        </w:rPr>
        <w:t xml:space="preserve">del Ministerio de Obras Públicas. </w:t>
      </w:r>
    </w:p>
  </w:footnote>
  <w:footnote w:id="42">
    <w:p w:rsidR="00FE0458" w:rsidRDefault="00FE0458">
      <w:pPr>
        <w:pStyle w:val="Textonotapie"/>
      </w:pPr>
      <w:r>
        <w:rPr>
          <w:rStyle w:val="Refdenotaalpie"/>
        </w:rPr>
        <w:footnoteRef/>
      </w:r>
      <w:r w:rsidRPr="000D2222">
        <w:rPr>
          <w:rFonts w:ascii="Garamond" w:hAnsi="Garamond"/>
        </w:rPr>
        <w:t>Fuente SUBDERE</w:t>
      </w:r>
      <w:r>
        <w:t>.</w:t>
      </w:r>
    </w:p>
  </w:footnote>
  <w:footnote w:id="43">
    <w:p w:rsidR="00FE0458" w:rsidRPr="000E2DD0" w:rsidRDefault="00FE0458" w:rsidP="00A011C4">
      <w:pPr>
        <w:spacing w:after="0"/>
        <w:jc w:val="both"/>
        <w:rPr>
          <w:rFonts w:ascii="Garamond" w:hAnsi="Garamond"/>
          <w:sz w:val="20"/>
          <w:szCs w:val="20"/>
        </w:rPr>
      </w:pPr>
      <w:r>
        <w:rPr>
          <w:rStyle w:val="Refdenotaalpie"/>
        </w:rPr>
        <w:footnoteRef/>
      </w:r>
      <w:r w:rsidRPr="000E2DD0">
        <w:rPr>
          <w:rFonts w:ascii="Garamond" w:hAnsi="Garamond"/>
          <w:sz w:val="20"/>
          <w:szCs w:val="20"/>
        </w:rPr>
        <w:t xml:space="preserve">El Índice de Aislamiento (IA) = (2 * II) – IAE; donde II, es el Índice de Integración, determinado por: tiempos de viaje hacia bancos, escuelas, centros de salud; y IAE, es el Índice de Aislamiento Estructural, determinado por: tiempos de viaje hacia municipalidad y la capital provincial. </w:t>
      </w:r>
    </w:p>
    <w:p w:rsidR="00FE0458" w:rsidRPr="000E2DD0" w:rsidRDefault="00FE0458" w:rsidP="00A011C4">
      <w:pPr>
        <w:spacing w:after="0"/>
        <w:jc w:val="both"/>
        <w:rPr>
          <w:rFonts w:ascii="Garamond" w:hAnsi="Garamond"/>
          <w:sz w:val="20"/>
          <w:szCs w:val="20"/>
        </w:rPr>
      </w:pPr>
      <w:r w:rsidRPr="000E2DD0">
        <w:rPr>
          <w:rFonts w:ascii="Garamond" w:hAnsi="Garamond"/>
          <w:sz w:val="20"/>
          <w:szCs w:val="20"/>
        </w:rPr>
        <w:t xml:space="preserve">Los valores de las variables toman los siguientes valores: 0 ≥ II ≥ 1; 0 ≥ IAE ≥ 1; -1 ≥ IA ≥ 2. </w:t>
      </w:r>
    </w:p>
    <w:p w:rsidR="00FE0458" w:rsidRPr="000E2DD0" w:rsidRDefault="00FE0458" w:rsidP="00A011C4">
      <w:pPr>
        <w:spacing w:after="0"/>
        <w:jc w:val="both"/>
        <w:rPr>
          <w:rFonts w:ascii="Garamond" w:hAnsi="Garamond"/>
          <w:sz w:val="20"/>
          <w:szCs w:val="20"/>
        </w:rPr>
      </w:pPr>
      <w:r w:rsidRPr="000E2DD0">
        <w:rPr>
          <w:rFonts w:ascii="Garamond" w:hAnsi="Garamond"/>
          <w:sz w:val="20"/>
          <w:szCs w:val="20"/>
        </w:rPr>
        <w:t xml:space="preserve">Considerando las diferentes características del país, se consideran 3 macro zonas de aislamiento: Norte: Arica y Parinacota, Tarapacá, Antofagasta, Atacama y Coquimbo; Centro: Valparaíso, Santiago, O’Higgins, Maule, Biobío, La Araucanía y Los Ríos; y Sur: Los Lagos, Aysén y Magallanes </w:t>
      </w:r>
    </w:p>
    <w:p w:rsidR="00FE0458" w:rsidRPr="000E2DD0" w:rsidRDefault="00FE0458" w:rsidP="00A011C4">
      <w:pPr>
        <w:jc w:val="both"/>
        <w:rPr>
          <w:rFonts w:ascii="Garamond" w:hAnsi="Garamond"/>
          <w:sz w:val="20"/>
          <w:szCs w:val="20"/>
        </w:rPr>
      </w:pPr>
      <w:r w:rsidRPr="000E2DD0">
        <w:rPr>
          <w:rFonts w:ascii="Garamond" w:hAnsi="Garamond"/>
          <w:sz w:val="20"/>
          <w:szCs w:val="20"/>
        </w:rPr>
        <w:t>Se considera condición de aislamiento cuando AI &lt; 0</w:t>
      </w:r>
    </w:p>
    <w:p w:rsidR="00FE0458" w:rsidRPr="00A011C4" w:rsidRDefault="00FE0458">
      <w:pPr>
        <w:pStyle w:val="Textonotapie"/>
      </w:pPr>
    </w:p>
  </w:footnote>
  <w:footnote w:id="44">
    <w:p w:rsidR="00FE0458" w:rsidRPr="000E2DD0" w:rsidRDefault="00FE0458">
      <w:pPr>
        <w:pStyle w:val="Textonotapie"/>
        <w:rPr>
          <w:rFonts w:ascii="Garamond" w:hAnsi="Garamond"/>
        </w:rPr>
      </w:pPr>
      <w:r>
        <w:rPr>
          <w:rStyle w:val="Refdenotaalpie"/>
        </w:rPr>
        <w:footnoteRef/>
      </w:r>
      <w:r w:rsidRPr="000E2DD0">
        <w:rPr>
          <w:rFonts w:ascii="Garamond" w:hAnsi="Garamond"/>
        </w:rPr>
        <w:t>En el año 2011 se considera a la región de Arica y Parinacota parte de la región de Tarapacá para establecer la comparación con el año 1990.</w:t>
      </w:r>
    </w:p>
  </w:footnote>
  <w:footnote w:id="45">
    <w:p w:rsidR="00FE0458" w:rsidRPr="000E2DD0" w:rsidRDefault="00FE0458" w:rsidP="00DD59D5">
      <w:pPr>
        <w:pStyle w:val="Textonotapie"/>
        <w:jc w:val="both"/>
        <w:rPr>
          <w:rFonts w:ascii="Garamond" w:hAnsi="Garamond"/>
        </w:rPr>
      </w:pPr>
      <w:r>
        <w:rPr>
          <w:rStyle w:val="Refdenotaalpie"/>
        </w:rPr>
        <w:footnoteRef/>
      </w:r>
      <w:r w:rsidRPr="000E2DD0">
        <w:rPr>
          <w:rFonts w:ascii="Garamond" w:hAnsi="Garamond"/>
        </w:rPr>
        <w:t>Subsidio Pro Retención Escolar, Subsidio a la Cedula de Identidad, Subsidio Familiar, Subsidio al Consumo de Agua Potable, Bonos Chile Solidario y Subsidio de Discapacidad Mental</w:t>
      </w:r>
    </w:p>
  </w:footnote>
  <w:footnote w:id="46">
    <w:p w:rsidR="00FE0458" w:rsidRPr="000E2DD0" w:rsidRDefault="00FE0458">
      <w:pPr>
        <w:pStyle w:val="Textonotapie"/>
        <w:rPr>
          <w:rFonts w:ascii="Garamond" w:hAnsi="Garamond"/>
        </w:rPr>
      </w:pPr>
      <w:r>
        <w:rPr>
          <w:rStyle w:val="Refdenotaalpie"/>
        </w:rPr>
        <w:footnoteRef/>
      </w:r>
      <w:r w:rsidRPr="000E2DD0">
        <w:rPr>
          <w:rFonts w:ascii="Garamond" w:hAnsi="Garamond"/>
        </w:rPr>
        <w:t>Datos de la Casen 2009. Ministerio de Desarrollo Social</w:t>
      </w:r>
    </w:p>
  </w:footnote>
  <w:footnote w:id="47">
    <w:p w:rsidR="00FE0458" w:rsidRDefault="00FE0458">
      <w:pPr>
        <w:pStyle w:val="Textonotapie"/>
      </w:pPr>
      <w:r>
        <w:rPr>
          <w:rStyle w:val="Refdenotaalpie"/>
        </w:rPr>
        <w:footnoteRef/>
      </w:r>
      <w:r>
        <w:t xml:space="preserve"> Datos de la CASEN 2009</w:t>
      </w:r>
    </w:p>
  </w:footnote>
  <w:footnote w:id="48">
    <w:p w:rsidR="00FE0458" w:rsidRDefault="00FE0458" w:rsidP="00C24BAE">
      <w:pPr>
        <w:pStyle w:val="Textonotapie"/>
        <w:jc w:val="both"/>
      </w:pPr>
      <w:r>
        <w:rPr>
          <w:rStyle w:val="Refdenotaalpie"/>
        </w:rPr>
        <w:footnoteRef/>
      </w:r>
      <w:r>
        <w:t xml:space="preserve"> Beneficiarios A: </w:t>
      </w:r>
      <w:r w:rsidRPr="00C24BAE">
        <w:t>Incluye a Carentes, SUF (personas que reciben una asignación especial) y PASSIS (Personas que son beneficiarias de  subsidio especial)</w:t>
      </w:r>
      <w:r>
        <w:t xml:space="preserve">; </w:t>
      </w:r>
      <w:r w:rsidRPr="00C24BAE">
        <w:t>Beneficiarios B: Cotizantes con ingresos menores al salario mínimo mensual</w:t>
      </w:r>
      <w:r>
        <w:t xml:space="preserve">; </w:t>
      </w:r>
      <w:r w:rsidRPr="00C24BAE">
        <w:t>Beneficiarios C: Cotizantes con ingresos entre un salario mínimo y 1,46 salario mínimo mensual</w:t>
      </w:r>
      <w:r>
        <w:t xml:space="preserve">; </w:t>
      </w:r>
      <w:r w:rsidRPr="00C24BAE">
        <w:t>Beneficiarios D: Cotizantes con ingresos mayores a 1,46 salarios mínimos mensuales</w:t>
      </w:r>
    </w:p>
  </w:footnote>
  <w:footnote w:id="49">
    <w:p w:rsidR="00FE0458" w:rsidRPr="00C3711F" w:rsidRDefault="00FE0458">
      <w:pPr>
        <w:pStyle w:val="Textonotapie"/>
        <w:rPr>
          <w:lang w:val="es-ES_tradnl"/>
        </w:rPr>
      </w:pPr>
      <w:r>
        <w:rPr>
          <w:rStyle w:val="Refdenotaalpie"/>
        </w:rPr>
        <w:footnoteRef/>
      </w:r>
      <w:r w:rsidR="000F4060">
        <w:t xml:space="preserve">Incluye a provincias o regiones de </w:t>
      </w:r>
      <w:r w:rsidRPr="00D7557F">
        <w:t xml:space="preserve">Argentina, Bolivia, Brasil, </w:t>
      </w:r>
      <w:r w:rsidR="000F4060">
        <w:t xml:space="preserve">Chile, </w:t>
      </w:r>
      <w:r w:rsidRPr="00D7557F">
        <w:t>Paraguay y Perú</w:t>
      </w:r>
      <w:r>
        <w:rPr>
          <w:lang w:val="es-ES_tradnl"/>
        </w:rPr>
        <w:t>.</w:t>
      </w:r>
    </w:p>
  </w:footnote>
  <w:footnote w:id="50">
    <w:p w:rsidR="00FE0458" w:rsidRDefault="00FE0458" w:rsidP="00785AC1">
      <w:pPr>
        <w:pStyle w:val="Textonotapie"/>
      </w:pPr>
      <w:r>
        <w:rPr>
          <w:rStyle w:val="Refdenotaalpie"/>
        </w:rPr>
        <w:footnoteRef/>
      </w:r>
      <w:r w:rsidRPr="00D7557F">
        <w:t>SUDEDERE y Universidad Central. “Evaluación de Diagnóstico, Línea de Base y Análisis de escenarios para la Política Nacional de Desarrollo Regional. 2012 y 2013</w:t>
      </w:r>
      <w:r>
        <w:t xml:space="preserve">. </w:t>
      </w:r>
    </w:p>
  </w:footnote>
  <w:footnote w:id="51">
    <w:p w:rsidR="00FE0458" w:rsidRDefault="00FE0458" w:rsidP="00C729BF">
      <w:pPr>
        <w:pStyle w:val="Textonotapie"/>
      </w:pPr>
      <w:r>
        <w:rPr>
          <w:rStyle w:val="Refdenotaalpie"/>
        </w:rPr>
        <w:footnoteRef/>
      </w:r>
      <w:r>
        <w:t>WorldEconomicForum, Iniciativa para el Desarrollo de la Minería Responsable 2013.</w:t>
      </w:r>
    </w:p>
  </w:footnote>
  <w:footnote w:id="52">
    <w:p w:rsidR="00FE0458" w:rsidRDefault="00FE0458" w:rsidP="00020491">
      <w:pPr>
        <w:autoSpaceDE w:val="0"/>
        <w:autoSpaceDN w:val="0"/>
        <w:adjustRightInd w:val="0"/>
        <w:spacing w:after="0" w:line="240" w:lineRule="auto"/>
        <w:jc w:val="both"/>
      </w:pPr>
      <w:r>
        <w:rPr>
          <w:rStyle w:val="Refdenotaalpie"/>
        </w:rPr>
        <w:footnoteRef/>
      </w:r>
      <w:r w:rsidRPr="00020491">
        <w:rPr>
          <w:sz w:val="20"/>
          <w:szCs w:val="20"/>
        </w:rPr>
        <w:t>Los 7 aspectos son: 1. Entorno fiscal (impuestos, regalías,etc.) y legal/regulatorio; 2. Empleo y habilidades; 3. Implicaciones para el medio ambiente y la biodiversidad; 4. Cohesión social, implicancias culturales y socioeconómicas; 5. Adquisiciones y cadena de suministro local; 6. Industria de refinación y Transformadora; y 7. Infraestructura</w:t>
      </w:r>
    </w:p>
  </w:footnote>
  <w:footnote w:id="53">
    <w:p w:rsidR="005C0F81" w:rsidRDefault="004850B8" w:rsidP="00815231">
      <w:pPr>
        <w:autoSpaceDE w:val="0"/>
        <w:autoSpaceDN w:val="0"/>
        <w:adjustRightInd w:val="0"/>
        <w:spacing w:after="0" w:line="240" w:lineRule="auto"/>
        <w:jc w:val="both"/>
        <w:rPr>
          <w:sz w:val="20"/>
          <w:szCs w:val="20"/>
        </w:rPr>
      </w:pPr>
      <w:r>
        <w:rPr>
          <w:rStyle w:val="Refdenotaalpie"/>
        </w:rPr>
        <w:footnoteRef/>
      </w:r>
      <w:r w:rsidR="00F53879" w:rsidRPr="00815231">
        <w:rPr>
          <w:sz w:val="20"/>
          <w:szCs w:val="20"/>
        </w:rPr>
        <w:t>El Indice de Competitividad Global del WEF caracteriza tres tipos de economías, aquellas “impulsadas por factores” (</w:t>
      </w:r>
      <w:r w:rsidR="00F53879" w:rsidRPr="00F53879">
        <w:rPr>
          <w:sz w:val="20"/>
          <w:szCs w:val="20"/>
        </w:rPr>
        <w:t>compiten principalmente sobre la base de su dotación de factores, básicamente mano de obra poco cualificada y recursos naturale</w:t>
      </w:r>
      <w:r w:rsidR="00F53879" w:rsidRPr="00815231">
        <w:rPr>
          <w:sz w:val="20"/>
          <w:szCs w:val="20"/>
        </w:rPr>
        <w:t>s</w:t>
      </w:r>
      <w:r w:rsidR="00F53879" w:rsidRPr="00F53879">
        <w:rPr>
          <w:sz w:val="20"/>
          <w:szCs w:val="20"/>
        </w:rPr>
        <w:t>”); economías “impulsadas por la eficiencia” necesitan desarrollar procesos de producción más eficientes y compiten sobre la base</w:t>
      </w:r>
      <w:r w:rsidR="00982DC4">
        <w:rPr>
          <w:sz w:val="20"/>
          <w:szCs w:val="20"/>
        </w:rPr>
        <w:t xml:space="preserve"> </w:t>
      </w:r>
      <w:r w:rsidR="00F53879" w:rsidRPr="00F53879">
        <w:rPr>
          <w:sz w:val="20"/>
          <w:szCs w:val="20"/>
        </w:rPr>
        <w:t>de factores como una mano de obra más cualificada y un mercado de trabajo y bienes eficiente y que funcione bien para que la productividad pueda mantenerse al ritmo de los aumentos salariales</w:t>
      </w:r>
      <w:r w:rsidR="00F53879">
        <w:rPr>
          <w:sz w:val="20"/>
          <w:szCs w:val="20"/>
        </w:rPr>
        <w:t xml:space="preserve">; y </w:t>
      </w:r>
      <w:r w:rsidR="00F53879" w:rsidRPr="00F53879">
        <w:rPr>
          <w:sz w:val="20"/>
          <w:szCs w:val="20"/>
        </w:rPr>
        <w:t xml:space="preserve">economías "impulsadas por la innovación" </w:t>
      </w:r>
      <w:r w:rsidR="00F53879">
        <w:rPr>
          <w:sz w:val="20"/>
          <w:szCs w:val="20"/>
        </w:rPr>
        <w:t>(“</w:t>
      </w:r>
      <w:r w:rsidR="00F53879" w:rsidRPr="00F53879">
        <w:rPr>
          <w:sz w:val="20"/>
          <w:szCs w:val="20"/>
        </w:rPr>
        <w:t>tienen salarios y un</w:t>
      </w:r>
      <w:r w:rsidR="00982DC4">
        <w:rPr>
          <w:sz w:val="20"/>
          <w:szCs w:val="20"/>
        </w:rPr>
        <w:t xml:space="preserve"> </w:t>
      </w:r>
      <w:r w:rsidR="00F53879" w:rsidRPr="00F53879">
        <w:rPr>
          <w:sz w:val="20"/>
          <w:szCs w:val="20"/>
        </w:rPr>
        <w:t>nivel de vida asociado más altos, y necesitan producir nuevas tecnologías y más procesos de producción o modelos de negocio más</w:t>
      </w:r>
      <w:r w:rsidR="00982DC4">
        <w:rPr>
          <w:sz w:val="20"/>
          <w:szCs w:val="20"/>
        </w:rPr>
        <w:t xml:space="preserve"> </w:t>
      </w:r>
      <w:r w:rsidR="00F53879" w:rsidRPr="00F53879">
        <w:rPr>
          <w:sz w:val="20"/>
          <w:szCs w:val="20"/>
        </w:rPr>
        <w:t>sofisticados para mantener la productividad en un nivel elevado</w:t>
      </w:r>
      <w:r w:rsidR="00F53879">
        <w:rPr>
          <w:sz w:val="20"/>
          <w:szCs w:val="20"/>
        </w:rPr>
        <w:t xml:space="preserve">”). En </w:t>
      </w:r>
      <w:r w:rsidR="00F53879" w:rsidRPr="00F53879">
        <w:rPr>
          <w:sz w:val="20"/>
          <w:szCs w:val="20"/>
        </w:rPr>
        <w:t xml:space="preserve">‘Informe Global de Competitividad 2012-2013’ </w:t>
      </w:r>
    </w:p>
    <w:p w:rsidR="00F53879" w:rsidRDefault="00F53879" w:rsidP="00815231">
      <w:pPr>
        <w:autoSpaceDE w:val="0"/>
        <w:autoSpaceDN w:val="0"/>
        <w:adjustRightInd w:val="0"/>
        <w:spacing w:after="0" w:line="240" w:lineRule="auto"/>
        <w:jc w:val="both"/>
        <w:rPr>
          <w:rFonts w:ascii="HelveticaNeueLTPro-Lt" w:hAnsi="HelveticaNeueLTPro-Lt" w:cs="HelveticaNeueLTPro-Lt"/>
          <w:color w:val="58595B"/>
          <w:sz w:val="18"/>
          <w:szCs w:val="18"/>
        </w:rPr>
      </w:pPr>
      <w:r w:rsidRPr="00F53879">
        <w:rPr>
          <w:sz w:val="20"/>
          <w:szCs w:val="20"/>
        </w:rPr>
        <w:t>(</w:t>
      </w:r>
      <w:hyperlink r:id="rId2" w:history="1">
        <w:r w:rsidR="005C0F81" w:rsidRPr="00E72AF7">
          <w:rPr>
            <w:rStyle w:val="Hipervnculo"/>
            <w:sz w:val="20"/>
            <w:szCs w:val="20"/>
          </w:rPr>
          <w:t>http://www3.weforum.org/docs/WEF_GlobalCompetitivenessReport_2012-13.pdf</w:t>
        </w:r>
      </w:hyperlink>
      <w:r>
        <w:rPr>
          <w:rFonts w:ascii="HelveticaNeueLTPro-Lt" w:hAnsi="HelveticaNeueLTPro-Lt" w:cs="HelveticaNeueLTPro-Lt"/>
          <w:color w:val="58595B"/>
          <w:sz w:val="18"/>
          <w:szCs w:val="18"/>
        </w:rPr>
        <w:t>)</w:t>
      </w:r>
    </w:p>
    <w:p w:rsidR="00815231" w:rsidRPr="00C65BDB" w:rsidRDefault="00815231" w:rsidP="00F53879">
      <w:pPr>
        <w:autoSpaceDE w:val="0"/>
        <w:autoSpaceDN w:val="0"/>
        <w:adjustRightInd w:val="0"/>
        <w:spacing w:after="0" w:line="240" w:lineRule="auto"/>
        <w:jc w:val="both"/>
        <w:rPr>
          <w:rFonts w:ascii="Garamond" w:eastAsia="Times New Roman" w:hAnsi="Garamond" w:cs="Arial"/>
          <w:sz w:val="24"/>
          <w:szCs w:val="24"/>
          <w:lang w:val="es-ES" w:eastAsia="es-ES"/>
        </w:rPr>
      </w:pPr>
    </w:p>
    <w:p w:rsidR="004850B8" w:rsidRPr="00F53879" w:rsidRDefault="004850B8" w:rsidP="00F53879">
      <w:pPr>
        <w:autoSpaceDE w:val="0"/>
        <w:autoSpaceDN w:val="0"/>
        <w:adjustRightInd w:val="0"/>
        <w:spacing w:after="0" w:line="240" w:lineRule="auto"/>
        <w:rPr>
          <w:sz w:val="20"/>
          <w:szCs w:val="20"/>
        </w:rPr>
      </w:pPr>
    </w:p>
  </w:footnote>
  <w:footnote w:id="54">
    <w:p w:rsidR="005E4864" w:rsidRDefault="005E4864" w:rsidP="005E4864">
      <w:pPr>
        <w:pStyle w:val="Textonotapie"/>
      </w:pPr>
      <w:r>
        <w:rPr>
          <w:rStyle w:val="Refdenotaalpie"/>
        </w:rPr>
        <w:footnoteRef/>
      </w:r>
      <w:r>
        <w:rPr>
          <w:rStyle w:val="Refdenotaalpie"/>
        </w:rPr>
        <w:footnoteRef/>
      </w:r>
      <w:r>
        <w:t>WorldEconomicForum, Iniciativa para el Desarrollo de la Minería Responsable 2013.</w:t>
      </w:r>
    </w:p>
    <w:p w:rsidR="005E4864" w:rsidRDefault="005E4864">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7A3"/>
    <w:multiLevelType w:val="hybridMultilevel"/>
    <w:tmpl w:val="657495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F9364C8"/>
    <w:multiLevelType w:val="hybridMultilevel"/>
    <w:tmpl w:val="8B583E64"/>
    <w:lvl w:ilvl="0" w:tplc="AE4C1C86">
      <w:start w:val="1"/>
      <w:numFmt w:val="lowerRoman"/>
      <w:lvlText w:val="%1)"/>
      <w:lvlJc w:val="left"/>
      <w:pPr>
        <w:ind w:left="4690" w:hanging="72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4ED32B3"/>
    <w:multiLevelType w:val="hybridMultilevel"/>
    <w:tmpl w:val="85C08C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26002E2"/>
    <w:multiLevelType w:val="hybridMultilevel"/>
    <w:tmpl w:val="85C08C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44E6EE4"/>
    <w:multiLevelType w:val="hybridMultilevel"/>
    <w:tmpl w:val="06EE192C"/>
    <w:lvl w:ilvl="0" w:tplc="3EEC40B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6FA7CCE"/>
    <w:multiLevelType w:val="hybridMultilevel"/>
    <w:tmpl w:val="8B583E64"/>
    <w:lvl w:ilvl="0" w:tplc="AE4C1C86">
      <w:start w:val="1"/>
      <w:numFmt w:val="lowerRoman"/>
      <w:lvlText w:val="%1)"/>
      <w:lvlJc w:val="left"/>
      <w:pPr>
        <w:ind w:left="2706" w:hanging="72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8225057"/>
    <w:multiLevelType w:val="hybridMultilevel"/>
    <w:tmpl w:val="24ECC2D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C33680"/>
    <w:multiLevelType w:val="hybridMultilevel"/>
    <w:tmpl w:val="D58281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CF0BED"/>
    <w:multiLevelType w:val="hybridMultilevel"/>
    <w:tmpl w:val="7C1A59CA"/>
    <w:lvl w:ilvl="0" w:tplc="8196FD52">
      <w:start w:val="2"/>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FF84CAD"/>
    <w:multiLevelType w:val="hybridMultilevel"/>
    <w:tmpl w:val="85C08C7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22D6F5C"/>
    <w:multiLevelType w:val="hybridMultilevel"/>
    <w:tmpl w:val="9D08D788"/>
    <w:lvl w:ilvl="0" w:tplc="340A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0"/>
  </w:num>
  <w:num w:numId="5">
    <w:abstractNumId w:val="3"/>
  </w:num>
  <w:num w:numId="6">
    <w:abstractNumId w:val="0"/>
  </w:num>
  <w:num w:numId="7">
    <w:abstractNumId w:val="7"/>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90"/>
    <w:rsid w:val="00001195"/>
    <w:rsid w:val="0000451F"/>
    <w:rsid w:val="00004CC8"/>
    <w:rsid w:val="00005FFC"/>
    <w:rsid w:val="00006512"/>
    <w:rsid w:val="00011821"/>
    <w:rsid w:val="000128D3"/>
    <w:rsid w:val="00013E9C"/>
    <w:rsid w:val="00016AE9"/>
    <w:rsid w:val="00017503"/>
    <w:rsid w:val="00020491"/>
    <w:rsid w:val="00021C22"/>
    <w:rsid w:val="0003226C"/>
    <w:rsid w:val="0003645F"/>
    <w:rsid w:val="0003759D"/>
    <w:rsid w:val="000445BE"/>
    <w:rsid w:val="00046F21"/>
    <w:rsid w:val="000500C3"/>
    <w:rsid w:val="000501E8"/>
    <w:rsid w:val="000503CD"/>
    <w:rsid w:val="000505F3"/>
    <w:rsid w:val="00050E01"/>
    <w:rsid w:val="000519E2"/>
    <w:rsid w:val="00053A74"/>
    <w:rsid w:val="00055725"/>
    <w:rsid w:val="00062279"/>
    <w:rsid w:val="0007745E"/>
    <w:rsid w:val="00077D03"/>
    <w:rsid w:val="00082EA4"/>
    <w:rsid w:val="0008623D"/>
    <w:rsid w:val="00090DAB"/>
    <w:rsid w:val="00095DD7"/>
    <w:rsid w:val="000A14C3"/>
    <w:rsid w:val="000A3DED"/>
    <w:rsid w:val="000A4E40"/>
    <w:rsid w:val="000B25B8"/>
    <w:rsid w:val="000B4A08"/>
    <w:rsid w:val="000B4A18"/>
    <w:rsid w:val="000B5EF0"/>
    <w:rsid w:val="000C1070"/>
    <w:rsid w:val="000C1827"/>
    <w:rsid w:val="000C1A8D"/>
    <w:rsid w:val="000C2A4B"/>
    <w:rsid w:val="000C3608"/>
    <w:rsid w:val="000C3F99"/>
    <w:rsid w:val="000C561B"/>
    <w:rsid w:val="000C7092"/>
    <w:rsid w:val="000D2222"/>
    <w:rsid w:val="000D5D69"/>
    <w:rsid w:val="000E2DD0"/>
    <w:rsid w:val="000F264E"/>
    <w:rsid w:val="000F4060"/>
    <w:rsid w:val="000F653D"/>
    <w:rsid w:val="000F7191"/>
    <w:rsid w:val="00100B9B"/>
    <w:rsid w:val="00105300"/>
    <w:rsid w:val="001137ED"/>
    <w:rsid w:val="00113ADA"/>
    <w:rsid w:val="00114A78"/>
    <w:rsid w:val="00121FF1"/>
    <w:rsid w:val="00132D7D"/>
    <w:rsid w:val="00133C28"/>
    <w:rsid w:val="00135A51"/>
    <w:rsid w:val="00137B55"/>
    <w:rsid w:val="00142A59"/>
    <w:rsid w:val="0014428C"/>
    <w:rsid w:val="00153E0F"/>
    <w:rsid w:val="00155B42"/>
    <w:rsid w:val="00162DBA"/>
    <w:rsid w:val="00162FF6"/>
    <w:rsid w:val="00165996"/>
    <w:rsid w:val="00165FFA"/>
    <w:rsid w:val="00170D7D"/>
    <w:rsid w:val="00171A3F"/>
    <w:rsid w:val="00171E37"/>
    <w:rsid w:val="00173D05"/>
    <w:rsid w:val="00180540"/>
    <w:rsid w:val="00180D9A"/>
    <w:rsid w:val="0018313F"/>
    <w:rsid w:val="00186F52"/>
    <w:rsid w:val="0019118B"/>
    <w:rsid w:val="001945FE"/>
    <w:rsid w:val="001A0B91"/>
    <w:rsid w:val="001A0D3D"/>
    <w:rsid w:val="001A0DB0"/>
    <w:rsid w:val="001A79F7"/>
    <w:rsid w:val="001A7A04"/>
    <w:rsid w:val="001B343E"/>
    <w:rsid w:val="001C2AD3"/>
    <w:rsid w:val="001C2C03"/>
    <w:rsid w:val="001C35E6"/>
    <w:rsid w:val="001D1469"/>
    <w:rsid w:val="001D1E33"/>
    <w:rsid w:val="001E1D13"/>
    <w:rsid w:val="001E6931"/>
    <w:rsid w:val="001E7999"/>
    <w:rsid w:val="001F15EC"/>
    <w:rsid w:val="001F2B68"/>
    <w:rsid w:val="001F40E4"/>
    <w:rsid w:val="001F51CD"/>
    <w:rsid w:val="001F5EE7"/>
    <w:rsid w:val="002027B4"/>
    <w:rsid w:val="00207659"/>
    <w:rsid w:val="002115C8"/>
    <w:rsid w:val="002149FB"/>
    <w:rsid w:val="00216403"/>
    <w:rsid w:val="00221270"/>
    <w:rsid w:val="0022144B"/>
    <w:rsid w:val="00227B19"/>
    <w:rsid w:val="00232EF4"/>
    <w:rsid w:val="0024150C"/>
    <w:rsid w:val="00242F9A"/>
    <w:rsid w:val="00246E56"/>
    <w:rsid w:val="0025092A"/>
    <w:rsid w:val="002510C4"/>
    <w:rsid w:val="00251C74"/>
    <w:rsid w:val="00255102"/>
    <w:rsid w:val="00255B9B"/>
    <w:rsid w:val="00274A76"/>
    <w:rsid w:val="00274F40"/>
    <w:rsid w:val="00275057"/>
    <w:rsid w:val="0028325F"/>
    <w:rsid w:val="00283D16"/>
    <w:rsid w:val="00290FF4"/>
    <w:rsid w:val="002944E6"/>
    <w:rsid w:val="00294ABE"/>
    <w:rsid w:val="00294B6F"/>
    <w:rsid w:val="00295454"/>
    <w:rsid w:val="00296AE5"/>
    <w:rsid w:val="002974D2"/>
    <w:rsid w:val="002A53FE"/>
    <w:rsid w:val="002A63DE"/>
    <w:rsid w:val="002A6FDA"/>
    <w:rsid w:val="002B32C2"/>
    <w:rsid w:val="002B525D"/>
    <w:rsid w:val="002C09D2"/>
    <w:rsid w:val="002C3F25"/>
    <w:rsid w:val="002C507E"/>
    <w:rsid w:val="002C6F2B"/>
    <w:rsid w:val="002D6D9F"/>
    <w:rsid w:val="002E19ED"/>
    <w:rsid w:val="002E4426"/>
    <w:rsid w:val="00302541"/>
    <w:rsid w:val="00303A0B"/>
    <w:rsid w:val="00303BE2"/>
    <w:rsid w:val="0031291A"/>
    <w:rsid w:val="00317B92"/>
    <w:rsid w:val="00321C6C"/>
    <w:rsid w:val="00321FB8"/>
    <w:rsid w:val="003221AC"/>
    <w:rsid w:val="003229F5"/>
    <w:rsid w:val="00325A01"/>
    <w:rsid w:val="00326B65"/>
    <w:rsid w:val="00327A71"/>
    <w:rsid w:val="00330427"/>
    <w:rsid w:val="0033699D"/>
    <w:rsid w:val="00343209"/>
    <w:rsid w:val="00344B66"/>
    <w:rsid w:val="00344F28"/>
    <w:rsid w:val="0035058B"/>
    <w:rsid w:val="00360498"/>
    <w:rsid w:val="00360FA9"/>
    <w:rsid w:val="00361C95"/>
    <w:rsid w:val="00365017"/>
    <w:rsid w:val="00372DBB"/>
    <w:rsid w:val="0038151A"/>
    <w:rsid w:val="00384EFE"/>
    <w:rsid w:val="00385B53"/>
    <w:rsid w:val="00391662"/>
    <w:rsid w:val="00392C93"/>
    <w:rsid w:val="00395ABA"/>
    <w:rsid w:val="003A3BF5"/>
    <w:rsid w:val="003A447E"/>
    <w:rsid w:val="003A47E1"/>
    <w:rsid w:val="003A7528"/>
    <w:rsid w:val="003B0B4B"/>
    <w:rsid w:val="003B16A2"/>
    <w:rsid w:val="003B6AA6"/>
    <w:rsid w:val="003C204E"/>
    <w:rsid w:val="003C28EB"/>
    <w:rsid w:val="003C480F"/>
    <w:rsid w:val="003C765C"/>
    <w:rsid w:val="003D081B"/>
    <w:rsid w:val="003D14B6"/>
    <w:rsid w:val="003D1EB7"/>
    <w:rsid w:val="003E0D23"/>
    <w:rsid w:val="003E19BD"/>
    <w:rsid w:val="003E38C0"/>
    <w:rsid w:val="003F723E"/>
    <w:rsid w:val="003F73B2"/>
    <w:rsid w:val="004016B3"/>
    <w:rsid w:val="004021D5"/>
    <w:rsid w:val="00407A1E"/>
    <w:rsid w:val="00415197"/>
    <w:rsid w:val="00425DA4"/>
    <w:rsid w:val="00430273"/>
    <w:rsid w:val="0044087F"/>
    <w:rsid w:val="00442AD2"/>
    <w:rsid w:val="0044501C"/>
    <w:rsid w:val="004503E7"/>
    <w:rsid w:val="004510B1"/>
    <w:rsid w:val="0045322C"/>
    <w:rsid w:val="00454BF5"/>
    <w:rsid w:val="004566E0"/>
    <w:rsid w:val="0046076E"/>
    <w:rsid w:val="00461F47"/>
    <w:rsid w:val="00463ABD"/>
    <w:rsid w:val="00465D1F"/>
    <w:rsid w:val="00470D81"/>
    <w:rsid w:val="00470F3A"/>
    <w:rsid w:val="004765FF"/>
    <w:rsid w:val="00481EF4"/>
    <w:rsid w:val="00483F45"/>
    <w:rsid w:val="004850B8"/>
    <w:rsid w:val="004866A6"/>
    <w:rsid w:val="00486B9F"/>
    <w:rsid w:val="004A2338"/>
    <w:rsid w:val="004A2BB6"/>
    <w:rsid w:val="004A2BDB"/>
    <w:rsid w:val="004A3460"/>
    <w:rsid w:val="004A59DD"/>
    <w:rsid w:val="004A748F"/>
    <w:rsid w:val="004A7C05"/>
    <w:rsid w:val="004B327A"/>
    <w:rsid w:val="004C19F3"/>
    <w:rsid w:val="004C42C9"/>
    <w:rsid w:val="004C5EB3"/>
    <w:rsid w:val="004D0450"/>
    <w:rsid w:val="004D0C5D"/>
    <w:rsid w:val="004D1D31"/>
    <w:rsid w:val="004D288C"/>
    <w:rsid w:val="004D4831"/>
    <w:rsid w:val="004D607F"/>
    <w:rsid w:val="004D72E5"/>
    <w:rsid w:val="004D782D"/>
    <w:rsid w:val="004D7C46"/>
    <w:rsid w:val="004E2588"/>
    <w:rsid w:val="004F751C"/>
    <w:rsid w:val="0050108C"/>
    <w:rsid w:val="0050313D"/>
    <w:rsid w:val="00505BF2"/>
    <w:rsid w:val="0050683F"/>
    <w:rsid w:val="00507192"/>
    <w:rsid w:val="00510C10"/>
    <w:rsid w:val="005119E1"/>
    <w:rsid w:val="00516E1E"/>
    <w:rsid w:val="00517497"/>
    <w:rsid w:val="00517711"/>
    <w:rsid w:val="00517B81"/>
    <w:rsid w:val="00522F8A"/>
    <w:rsid w:val="00523D09"/>
    <w:rsid w:val="00524717"/>
    <w:rsid w:val="0052702C"/>
    <w:rsid w:val="00533A9D"/>
    <w:rsid w:val="005351C0"/>
    <w:rsid w:val="005372BC"/>
    <w:rsid w:val="005409F0"/>
    <w:rsid w:val="00542637"/>
    <w:rsid w:val="00543C19"/>
    <w:rsid w:val="00545CD0"/>
    <w:rsid w:val="00552AB3"/>
    <w:rsid w:val="00553110"/>
    <w:rsid w:val="00556DCD"/>
    <w:rsid w:val="005669DA"/>
    <w:rsid w:val="00570F6D"/>
    <w:rsid w:val="0057255C"/>
    <w:rsid w:val="00572633"/>
    <w:rsid w:val="00573889"/>
    <w:rsid w:val="00573FFC"/>
    <w:rsid w:val="00575FD8"/>
    <w:rsid w:val="00577812"/>
    <w:rsid w:val="00584443"/>
    <w:rsid w:val="005856ED"/>
    <w:rsid w:val="005874AA"/>
    <w:rsid w:val="0058773D"/>
    <w:rsid w:val="00587C63"/>
    <w:rsid w:val="0059013D"/>
    <w:rsid w:val="005909F6"/>
    <w:rsid w:val="00592650"/>
    <w:rsid w:val="005950B5"/>
    <w:rsid w:val="005A28B2"/>
    <w:rsid w:val="005A402B"/>
    <w:rsid w:val="005A579A"/>
    <w:rsid w:val="005B1A75"/>
    <w:rsid w:val="005B3295"/>
    <w:rsid w:val="005C050A"/>
    <w:rsid w:val="005C0F81"/>
    <w:rsid w:val="005C1AC3"/>
    <w:rsid w:val="005C56D9"/>
    <w:rsid w:val="005C7167"/>
    <w:rsid w:val="005D0B07"/>
    <w:rsid w:val="005D195F"/>
    <w:rsid w:val="005D1A53"/>
    <w:rsid w:val="005E35FA"/>
    <w:rsid w:val="005E37C4"/>
    <w:rsid w:val="005E4864"/>
    <w:rsid w:val="005E7D2C"/>
    <w:rsid w:val="005F15A0"/>
    <w:rsid w:val="005F5A8A"/>
    <w:rsid w:val="0060001F"/>
    <w:rsid w:val="0060540D"/>
    <w:rsid w:val="00606AE9"/>
    <w:rsid w:val="0061070D"/>
    <w:rsid w:val="00610B34"/>
    <w:rsid w:val="006130BA"/>
    <w:rsid w:val="00620422"/>
    <w:rsid w:val="0062730F"/>
    <w:rsid w:val="006404D4"/>
    <w:rsid w:val="006408C5"/>
    <w:rsid w:val="00650444"/>
    <w:rsid w:val="00656FC8"/>
    <w:rsid w:val="006620C8"/>
    <w:rsid w:val="00663A1B"/>
    <w:rsid w:val="006654FA"/>
    <w:rsid w:val="00665BDA"/>
    <w:rsid w:val="006719AE"/>
    <w:rsid w:val="006725E2"/>
    <w:rsid w:val="006749A4"/>
    <w:rsid w:val="006752C0"/>
    <w:rsid w:val="006833D4"/>
    <w:rsid w:val="00685601"/>
    <w:rsid w:val="00686424"/>
    <w:rsid w:val="006865C2"/>
    <w:rsid w:val="00687B1C"/>
    <w:rsid w:val="00690B38"/>
    <w:rsid w:val="006926E4"/>
    <w:rsid w:val="00694998"/>
    <w:rsid w:val="006A1475"/>
    <w:rsid w:val="006A1C13"/>
    <w:rsid w:val="006A48C8"/>
    <w:rsid w:val="006B04F1"/>
    <w:rsid w:val="006B0C11"/>
    <w:rsid w:val="006B107D"/>
    <w:rsid w:val="006B1365"/>
    <w:rsid w:val="006B151C"/>
    <w:rsid w:val="006B418A"/>
    <w:rsid w:val="006B7711"/>
    <w:rsid w:val="006C0F4C"/>
    <w:rsid w:val="006C23AF"/>
    <w:rsid w:val="006C2914"/>
    <w:rsid w:val="006C2C75"/>
    <w:rsid w:val="006C4B1E"/>
    <w:rsid w:val="006C5310"/>
    <w:rsid w:val="006C55DB"/>
    <w:rsid w:val="006C56D8"/>
    <w:rsid w:val="006C5982"/>
    <w:rsid w:val="006D188C"/>
    <w:rsid w:val="006D2262"/>
    <w:rsid w:val="006D3C02"/>
    <w:rsid w:val="006D44AB"/>
    <w:rsid w:val="006D662B"/>
    <w:rsid w:val="006D6E5B"/>
    <w:rsid w:val="006E06B7"/>
    <w:rsid w:val="006E421E"/>
    <w:rsid w:val="006E600B"/>
    <w:rsid w:val="006F24DD"/>
    <w:rsid w:val="006F4C15"/>
    <w:rsid w:val="006F554E"/>
    <w:rsid w:val="00707E1E"/>
    <w:rsid w:val="00712F28"/>
    <w:rsid w:val="00713BC4"/>
    <w:rsid w:val="00714A74"/>
    <w:rsid w:val="00714BBB"/>
    <w:rsid w:val="007155CB"/>
    <w:rsid w:val="007165B0"/>
    <w:rsid w:val="00722F98"/>
    <w:rsid w:val="00723441"/>
    <w:rsid w:val="00724F91"/>
    <w:rsid w:val="007269DB"/>
    <w:rsid w:val="00733408"/>
    <w:rsid w:val="00734505"/>
    <w:rsid w:val="007359AD"/>
    <w:rsid w:val="00737775"/>
    <w:rsid w:val="00740F4C"/>
    <w:rsid w:val="00743020"/>
    <w:rsid w:val="00743B1B"/>
    <w:rsid w:val="00744273"/>
    <w:rsid w:val="007514A9"/>
    <w:rsid w:val="0075788A"/>
    <w:rsid w:val="00761267"/>
    <w:rsid w:val="00767A2B"/>
    <w:rsid w:val="00770A05"/>
    <w:rsid w:val="007727FD"/>
    <w:rsid w:val="007737A1"/>
    <w:rsid w:val="00776929"/>
    <w:rsid w:val="007819B4"/>
    <w:rsid w:val="00783345"/>
    <w:rsid w:val="00785AC1"/>
    <w:rsid w:val="007864D6"/>
    <w:rsid w:val="00791266"/>
    <w:rsid w:val="0079591E"/>
    <w:rsid w:val="007A1E58"/>
    <w:rsid w:val="007A4947"/>
    <w:rsid w:val="007C11EB"/>
    <w:rsid w:val="007C49EE"/>
    <w:rsid w:val="007D4233"/>
    <w:rsid w:val="007D752E"/>
    <w:rsid w:val="007E26F4"/>
    <w:rsid w:val="007E3252"/>
    <w:rsid w:val="007E6047"/>
    <w:rsid w:val="007F06B5"/>
    <w:rsid w:val="007F3632"/>
    <w:rsid w:val="007F5839"/>
    <w:rsid w:val="00802B22"/>
    <w:rsid w:val="00802C90"/>
    <w:rsid w:val="0081222C"/>
    <w:rsid w:val="00815231"/>
    <w:rsid w:val="008169E8"/>
    <w:rsid w:val="0082107D"/>
    <w:rsid w:val="00823ADF"/>
    <w:rsid w:val="00835F09"/>
    <w:rsid w:val="008428A9"/>
    <w:rsid w:val="008439C6"/>
    <w:rsid w:val="00854BFE"/>
    <w:rsid w:val="00854DE4"/>
    <w:rsid w:val="008604D9"/>
    <w:rsid w:val="00861A41"/>
    <w:rsid w:val="00864D3F"/>
    <w:rsid w:val="0087771F"/>
    <w:rsid w:val="008904BA"/>
    <w:rsid w:val="00891F01"/>
    <w:rsid w:val="008978FD"/>
    <w:rsid w:val="008A01A5"/>
    <w:rsid w:val="008A3E03"/>
    <w:rsid w:val="008A4755"/>
    <w:rsid w:val="008A7014"/>
    <w:rsid w:val="008B2E11"/>
    <w:rsid w:val="008B4D5D"/>
    <w:rsid w:val="008B5D29"/>
    <w:rsid w:val="008C228C"/>
    <w:rsid w:val="008C2293"/>
    <w:rsid w:val="008C2438"/>
    <w:rsid w:val="008C4661"/>
    <w:rsid w:val="008C5EAE"/>
    <w:rsid w:val="008D1C17"/>
    <w:rsid w:val="008E030A"/>
    <w:rsid w:val="008E2B6F"/>
    <w:rsid w:val="008E3549"/>
    <w:rsid w:val="008E7D31"/>
    <w:rsid w:val="008F55FD"/>
    <w:rsid w:val="008F6C21"/>
    <w:rsid w:val="00900034"/>
    <w:rsid w:val="00904FEE"/>
    <w:rsid w:val="009059B6"/>
    <w:rsid w:val="00911003"/>
    <w:rsid w:val="00911BA8"/>
    <w:rsid w:val="00915962"/>
    <w:rsid w:val="00915C9E"/>
    <w:rsid w:val="0091783B"/>
    <w:rsid w:val="00917C2A"/>
    <w:rsid w:val="009310DB"/>
    <w:rsid w:val="009406E4"/>
    <w:rsid w:val="00942AD2"/>
    <w:rsid w:val="009467EB"/>
    <w:rsid w:val="009468E9"/>
    <w:rsid w:val="00950D54"/>
    <w:rsid w:val="00951196"/>
    <w:rsid w:val="00951E8A"/>
    <w:rsid w:val="009529BD"/>
    <w:rsid w:val="00953FD4"/>
    <w:rsid w:val="00954AF2"/>
    <w:rsid w:val="009556B7"/>
    <w:rsid w:val="00957BC3"/>
    <w:rsid w:val="009606C2"/>
    <w:rsid w:val="0096431E"/>
    <w:rsid w:val="009655E2"/>
    <w:rsid w:val="00965DFB"/>
    <w:rsid w:val="00966941"/>
    <w:rsid w:val="00971AE2"/>
    <w:rsid w:val="0097740F"/>
    <w:rsid w:val="00981664"/>
    <w:rsid w:val="00981C01"/>
    <w:rsid w:val="00982DC4"/>
    <w:rsid w:val="00984BFF"/>
    <w:rsid w:val="009927E5"/>
    <w:rsid w:val="009A1141"/>
    <w:rsid w:val="009A2E2A"/>
    <w:rsid w:val="009A5526"/>
    <w:rsid w:val="009B0E6C"/>
    <w:rsid w:val="009B1728"/>
    <w:rsid w:val="009B2E29"/>
    <w:rsid w:val="009B63AD"/>
    <w:rsid w:val="009B68FF"/>
    <w:rsid w:val="009B6E4F"/>
    <w:rsid w:val="009B7155"/>
    <w:rsid w:val="009C02E5"/>
    <w:rsid w:val="009C21F7"/>
    <w:rsid w:val="009C539D"/>
    <w:rsid w:val="009D09C4"/>
    <w:rsid w:val="009D197D"/>
    <w:rsid w:val="009D21D3"/>
    <w:rsid w:val="009D2ACD"/>
    <w:rsid w:val="009D2DFA"/>
    <w:rsid w:val="009E1895"/>
    <w:rsid w:val="009E1D6E"/>
    <w:rsid w:val="009E47B8"/>
    <w:rsid w:val="009E5D54"/>
    <w:rsid w:val="009E6B39"/>
    <w:rsid w:val="009E714E"/>
    <w:rsid w:val="009F1CA4"/>
    <w:rsid w:val="009F35B9"/>
    <w:rsid w:val="00A011C4"/>
    <w:rsid w:val="00A01FA8"/>
    <w:rsid w:val="00A02A4A"/>
    <w:rsid w:val="00A03D05"/>
    <w:rsid w:val="00A06523"/>
    <w:rsid w:val="00A10982"/>
    <w:rsid w:val="00A10B8A"/>
    <w:rsid w:val="00A142E0"/>
    <w:rsid w:val="00A23592"/>
    <w:rsid w:val="00A235A0"/>
    <w:rsid w:val="00A242E0"/>
    <w:rsid w:val="00A31012"/>
    <w:rsid w:val="00A37022"/>
    <w:rsid w:val="00A4435B"/>
    <w:rsid w:val="00A47768"/>
    <w:rsid w:val="00A61D33"/>
    <w:rsid w:val="00A62D88"/>
    <w:rsid w:val="00A65F47"/>
    <w:rsid w:val="00A70CE7"/>
    <w:rsid w:val="00A7194E"/>
    <w:rsid w:val="00A82EB4"/>
    <w:rsid w:val="00A83B89"/>
    <w:rsid w:val="00A85A9C"/>
    <w:rsid w:val="00A92D2A"/>
    <w:rsid w:val="00A94852"/>
    <w:rsid w:val="00A961BA"/>
    <w:rsid w:val="00A9767D"/>
    <w:rsid w:val="00AA08B0"/>
    <w:rsid w:val="00AA159E"/>
    <w:rsid w:val="00AA18B7"/>
    <w:rsid w:val="00AA1AAE"/>
    <w:rsid w:val="00AA39AB"/>
    <w:rsid w:val="00AB1454"/>
    <w:rsid w:val="00AB44A1"/>
    <w:rsid w:val="00AB527E"/>
    <w:rsid w:val="00AB705F"/>
    <w:rsid w:val="00AB711C"/>
    <w:rsid w:val="00AC0ECB"/>
    <w:rsid w:val="00AC371C"/>
    <w:rsid w:val="00AC6602"/>
    <w:rsid w:val="00AC75A3"/>
    <w:rsid w:val="00AD00F7"/>
    <w:rsid w:val="00AD0A14"/>
    <w:rsid w:val="00AD13A8"/>
    <w:rsid w:val="00AD2210"/>
    <w:rsid w:val="00AD2838"/>
    <w:rsid w:val="00AD6E93"/>
    <w:rsid w:val="00AD7578"/>
    <w:rsid w:val="00AE0E78"/>
    <w:rsid w:val="00AE10BA"/>
    <w:rsid w:val="00AE1A14"/>
    <w:rsid w:val="00AE5AF3"/>
    <w:rsid w:val="00AF0657"/>
    <w:rsid w:val="00AF22DA"/>
    <w:rsid w:val="00AF31EE"/>
    <w:rsid w:val="00B01D26"/>
    <w:rsid w:val="00B04CE9"/>
    <w:rsid w:val="00B13488"/>
    <w:rsid w:val="00B13B30"/>
    <w:rsid w:val="00B1450A"/>
    <w:rsid w:val="00B158F5"/>
    <w:rsid w:val="00B2046C"/>
    <w:rsid w:val="00B222D7"/>
    <w:rsid w:val="00B23924"/>
    <w:rsid w:val="00B24D34"/>
    <w:rsid w:val="00B24E91"/>
    <w:rsid w:val="00B26709"/>
    <w:rsid w:val="00B33C86"/>
    <w:rsid w:val="00B36AD5"/>
    <w:rsid w:val="00B43F6A"/>
    <w:rsid w:val="00B50C57"/>
    <w:rsid w:val="00B51C2F"/>
    <w:rsid w:val="00B60142"/>
    <w:rsid w:val="00B60F91"/>
    <w:rsid w:val="00B64C3D"/>
    <w:rsid w:val="00B700EB"/>
    <w:rsid w:val="00B7423F"/>
    <w:rsid w:val="00B768A3"/>
    <w:rsid w:val="00B809CA"/>
    <w:rsid w:val="00B84B3C"/>
    <w:rsid w:val="00B86622"/>
    <w:rsid w:val="00B909FC"/>
    <w:rsid w:val="00B92F61"/>
    <w:rsid w:val="00B94E84"/>
    <w:rsid w:val="00B97CCC"/>
    <w:rsid w:val="00BA0BF1"/>
    <w:rsid w:val="00BA2C6A"/>
    <w:rsid w:val="00BA71BE"/>
    <w:rsid w:val="00BB3BBA"/>
    <w:rsid w:val="00BB3C3F"/>
    <w:rsid w:val="00BB552F"/>
    <w:rsid w:val="00BB65AB"/>
    <w:rsid w:val="00BB6699"/>
    <w:rsid w:val="00BB7FAC"/>
    <w:rsid w:val="00BC4112"/>
    <w:rsid w:val="00BC4FF8"/>
    <w:rsid w:val="00BC59EF"/>
    <w:rsid w:val="00BC6579"/>
    <w:rsid w:val="00BC7525"/>
    <w:rsid w:val="00BD1432"/>
    <w:rsid w:val="00BE07EE"/>
    <w:rsid w:val="00BE2DFA"/>
    <w:rsid w:val="00BE32AE"/>
    <w:rsid w:val="00BE3D2E"/>
    <w:rsid w:val="00BF569F"/>
    <w:rsid w:val="00BF6415"/>
    <w:rsid w:val="00BF6ABF"/>
    <w:rsid w:val="00BF6F8A"/>
    <w:rsid w:val="00BF7D6C"/>
    <w:rsid w:val="00C04B2A"/>
    <w:rsid w:val="00C05774"/>
    <w:rsid w:val="00C06F88"/>
    <w:rsid w:val="00C11A10"/>
    <w:rsid w:val="00C12F32"/>
    <w:rsid w:val="00C15D29"/>
    <w:rsid w:val="00C1631C"/>
    <w:rsid w:val="00C169DC"/>
    <w:rsid w:val="00C24BAE"/>
    <w:rsid w:val="00C2713C"/>
    <w:rsid w:val="00C27177"/>
    <w:rsid w:val="00C27186"/>
    <w:rsid w:val="00C32DB8"/>
    <w:rsid w:val="00C3643B"/>
    <w:rsid w:val="00C3711F"/>
    <w:rsid w:val="00C40D7F"/>
    <w:rsid w:val="00C44043"/>
    <w:rsid w:val="00C5108C"/>
    <w:rsid w:val="00C51718"/>
    <w:rsid w:val="00C51A94"/>
    <w:rsid w:val="00C51CD7"/>
    <w:rsid w:val="00C60299"/>
    <w:rsid w:val="00C65BDB"/>
    <w:rsid w:val="00C66A98"/>
    <w:rsid w:val="00C70D77"/>
    <w:rsid w:val="00C719F7"/>
    <w:rsid w:val="00C729BF"/>
    <w:rsid w:val="00C868FC"/>
    <w:rsid w:val="00C92453"/>
    <w:rsid w:val="00C92D32"/>
    <w:rsid w:val="00C934E0"/>
    <w:rsid w:val="00C93872"/>
    <w:rsid w:val="00CA32AC"/>
    <w:rsid w:val="00CA3C77"/>
    <w:rsid w:val="00CC46DB"/>
    <w:rsid w:val="00CC5C05"/>
    <w:rsid w:val="00CD7B85"/>
    <w:rsid w:val="00CE00F5"/>
    <w:rsid w:val="00CE058D"/>
    <w:rsid w:val="00CE4511"/>
    <w:rsid w:val="00CF57E3"/>
    <w:rsid w:val="00D015B7"/>
    <w:rsid w:val="00D038EF"/>
    <w:rsid w:val="00D05351"/>
    <w:rsid w:val="00D06A40"/>
    <w:rsid w:val="00D06F16"/>
    <w:rsid w:val="00D1232B"/>
    <w:rsid w:val="00D13E5A"/>
    <w:rsid w:val="00D14FC4"/>
    <w:rsid w:val="00D1697E"/>
    <w:rsid w:val="00D21340"/>
    <w:rsid w:val="00D21A21"/>
    <w:rsid w:val="00D25E7F"/>
    <w:rsid w:val="00D32CED"/>
    <w:rsid w:val="00D4284C"/>
    <w:rsid w:val="00D47907"/>
    <w:rsid w:val="00D50451"/>
    <w:rsid w:val="00D51268"/>
    <w:rsid w:val="00D522B0"/>
    <w:rsid w:val="00D52695"/>
    <w:rsid w:val="00D55A30"/>
    <w:rsid w:val="00D5732F"/>
    <w:rsid w:val="00D60292"/>
    <w:rsid w:val="00D60937"/>
    <w:rsid w:val="00D63B78"/>
    <w:rsid w:val="00D704A0"/>
    <w:rsid w:val="00D7557F"/>
    <w:rsid w:val="00D779BB"/>
    <w:rsid w:val="00D779EE"/>
    <w:rsid w:val="00D80712"/>
    <w:rsid w:val="00D82FAB"/>
    <w:rsid w:val="00D83584"/>
    <w:rsid w:val="00D85115"/>
    <w:rsid w:val="00D85F5F"/>
    <w:rsid w:val="00D87796"/>
    <w:rsid w:val="00D9049A"/>
    <w:rsid w:val="00D916CA"/>
    <w:rsid w:val="00D93485"/>
    <w:rsid w:val="00D9466A"/>
    <w:rsid w:val="00D94694"/>
    <w:rsid w:val="00DA2B12"/>
    <w:rsid w:val="00DB2BA7"/>
    <w:rsid w:val="00DB42BE"/>
    <w:rsid w:val="00DB42FA"/>
    <w:rsid w:val="00DB4C62"/>
    <w:rsid w:val="00DB52FD"/>
    <w:rsid w:val="00DC1157"/>
    <w:rsid w:val="00DC5EC2"/>
    <w:rsid w:val="00DD59D5"/>
    <w:rsid w:val="00DD6949"/>
    <w:rsid w:val="00DE588C"/>
    <w:rsid w:val="00DE78BA"/>
    <w:rsid w:val="00DF19D2"/>
    <w:rsid w:val="00DF6E64"/>
    <w:rsid w:val="00E00553"/>
    <w:rsid w:val="00E06E38"/>
    <w:rsid w:val="00E13271"/>
    <w:rsid w:val="00E163D9"/>
    <w:rsid w:val="00E20D6E"/>
    <w:rsid w:val="00E35911"/>
    <w:rsid w:val="00E35AA5"/>
    <w:rsid w:val="00E374C0"/>
    <w:rsid w:val="00E4136E"/>
    <w:rsid w:val="00E47889"/>
    <w:rsid w:val="00E51F91"/>
    <w:rsid w:val="00E5550E"/>
    <w:rsid w:val="00E55E75"/>
    <w:rsid w:val="00E57771"/>
    <w:rsid w:val="00E60D12"/>
    <w:rsid w:val="00E617C3"/>
    <w:rsid w:val="00E64C7F"/>
    <w:rsid w:val="00E70B59"/>
    <w:rsid w:val="00E70C53"/>
    <w:rsid w:val="00E7258B"/>
    <w:rsid w:val="00E73F2F"/>
    <w:rsid w:val="00E75003"/>
    <w:rsid w:val="00E81FE0"/>
    <w:rsid w:val="00E86CB4"/>
    <w:rsid w:val="00E872F8"/>
    <w:rsid w:val="00E93B99"/>
    <w:rsid w:val="00E94EFF"/>
    <w:rsid w:val="00E95796"/>
    <w:rsid w:val="00EA0CF1"/>
    <w:rsid w:val="00EA67BF"/>
    <w:rsid w:val="00EB1B82"/>
    <w:rsid w:val="00EC6DD6"/>
    <w:rsid w:val="00EC7093"/>
    <w:rsid w:val="00ED348B"/>
    <w:rsid w:val="00EE3B62"/>
    <w:rsid w:val="00EE61A7"/>
    <w:rsid w:val="00EE638B"/>
    <w:rsid w:val="00EF5845"/>
    <w:rsid w:val="00EF69C8"/>
    <w:rsid w:val="00EF6D90"/>
    <w:rsid w:val="00EF774F"/>
    <w:rsid w:val="00F00AA6"/>
    <w:rsid w:val="00F01BD0"/>
    <w:rsid w:val="00F0304B"/>
    <w:rsid w:val="00F04F3D"/>
    <w:rsid w:val="00F0559B"/>
    <w:rsid w:val="00F064E0"/>
    <w:rsid w:val="00F0725F"/>
    <w:rsid w:val="00F1075F"/>
    <w:rsid w:val="00F1310D"/>
    <w:rsid w:val="00F14971"/>
    <w:rsid w:val="00F16DF0"/>
    <w:rsid w:val="00F2168F"/>
    <w:rsid w:val="00F21C57"/>
    <w:rsid w:val="00F25AEA"/>
    <w:rsid w:val="00F25D19"/>
    <w:rsid w:val="00F3025F"/>
    <w:rsid w:val="00F30ED6"/>
    <w:rsid w:val="00F30F85"/>
    <w:rsid w:val="00F36070"/>
    <w:rsid w:val="00F364FF"/>
    <w:rsid w:val="00F36CB2"/>
    <w:rsid w:val="00F42B02"/>
    <w:rsid w:val="00F43EA7"/>
    <w:rsid w:val="00F44B47"/>
    <w:rsid w:val="00F50FC6"/>
    <w:rsid w:val="00F53879"/>
    <w:rsid w:val="00F550D9"/>
    <w:rsid w:val="00F6288F"/>
    <w:rsid w:val="00F65D7F"/>
    <w:rsid w:val="00F66D36"/>
    <w:rsid w:val="00F67147"/>
    <w:rsid w:val="00F776F7"/>
    <w:rsid w:val="00F81E75"/>
    <w:rsid w:val="00F83F5D"/>
    <w:rsid w:val="00F854DC"/>
    <w:rsid w:val="00F90D39"/>
    <w:rsid w:val="00F91A4A"/>
    <w:rsid w:val="00F97324"/>
    <w:rsid w:val="00F978E8"/>
    <w:rsid w:val="00F97E84"/>
    <w:rsid w:val="00FA253B"/>
    <w:rsid w:val="00FA4735"/>
    <w:rsid w:val="00FA5CFE"/>
    <w:rsid w:val="00FA700E"/>
    <w:rsid w:val="00FB4045"/>
    <w:rsid w:val="00FC0D8B"/>
    <w:rsid w:val="00FC40CA"/>
    <w:rsid w:val="00FC6BE6"/>
    <w:rsid w:val="00FC7B56"/>
    <w:rsid w:val="00FD0AB8"/>
    <w:rsid w:val="00FE0458"/>
    <w:rsid w:val="00FE1275"/>
    <w:rsid w:val="00FE1468"/>
    <w:rsid w:val="00FE3238"/>
    <w:rsid w:val="00FE57C7"/>
    <w:rsid w:val="00FF34FF"/>
    <w:rsid w:val="00FF5EAB"/>
    <w:rsid w:val="00FF64C1"/>
    <w:rsid w:val="00FF754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B2D8E2-9A54-4FCE-A766-749EB439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3CD"/>
    <w:pPr>
      <w:ind w:left="720"/>
      <w:contextualSpacing/>
    </w:pPr>
  </w:style>
  <w:style w:type="paragraph" w:styleId="Textonotapie">
    <w:name w:val="footnote text"/>
    <w:basedOn w:val="Normal"/>
    <w:link w:val="TextonotapieCar"/>
    <w:semiHidden/>
    <w:unhideWhenUsed/>
    <w:rsid w:val="00F25D19"/>
    <w:pPr>
      <w:spacing w:after="0" w:line="240" w:lineRule="auto"/>
    </w:pPr>
    <w:rPr>
      <w:sz w:val="20"/>
      <w:szCs w:val="20"/>
    </w:rPr>
  </w:style>
  <w:style w:type="character" w:customStyle="1" w:styleId="TextonotapieCar">
    <w:name w:val="Texto nota pie Car"/>
    <w:basedOn w:val="Fuentedeprrafopredeter"/>
    <w:link w:val="Textonotapie"/>
    <w:semiHidden/>
    <w:rsid w:val="00F25D19"/>
    <w:rPr>
      <w:sz w:val="20"/>
      <w:szCs w:val="20"/>
    </w:rPr>
  </w:style>
  <w:style w:type="character" w:styleId="Refdenotaalpie">
    <w:name w:val="footnote reference"/>
    <w:basedOn w:val="Fuentedeprrafopredeter"/>
    <w:semiHidden/>
    <w:unhideWhenUsed/>
    <w:rsid w:val="00F25D19"/>
    <w:rPr>
      <w:vertAlign w:val="superscript"/>
    </w:rPr>
  </w:style>
  <w:style w:type="paragraph" w:styleId="Encabezado">
    <w:name w:val="header"/>
    <w:basedOn w:val="Normal"/>
    <w:link w:val="EncabezadoCar"/>
    <w:uiPriority w:val="99"/>
    <w:unhideWhenUsed/>
    <w:rsid w:val="00F25D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D19"/>
  </w:style>
  <w:style w:type="paragraph" w:styleId="Piedepgina">
    <w:name w:val="footer"/>
    <w:basedOn w:val="Normal"/>
    <w:link w:val="PiedepginaCar"/>
    <w:uiPriority w:val="99"/>
    <w:unhideWhenUsed/>
    <w:rsid w:val="00F25D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D19"/>
  </w:style>
  <w:style w:type="paragraph" w:styleId="NormalWeb">
    <w:name w:val="Normal (Web)"/>
    <w:basedOn w:val="Normal"/>
    <w:rsid w:val="00740F4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40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F4C"/>
    <w:rPr>
      <w:rFonts w:ascii="Tahoma" w:hAnsi="Tahoma" w:cs="Tahoma"/>
      <w:sz w:val="16"/>
      <w:szCs w:val="16"/>
    </w:rPr>
  </w:style>
  <w:style w:type="table" w:styleId="Tablaconcuadrcula">
    <w:name w:val="Table Grid"/>
    <w:basedOn w:val="Tablanormal"/>
    <w:rsid w:val="00740F4C"/>
    <w:pPr>
      <w:spacing w:after="0" w:line="240" w:lineRule="auto"/>
    </w:pPr>
    <w:rPr>
      <w:rFonts w:ascii="Times New Roman" w:eastAsia="Times New Roman" w:hAnsi="Times New Roman" w:cs="Times New Roman"/>
      <w:sz w:val="20"/>
      <w:szCs w:val="20"/>
      <w:lang w:val="es-AR"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A01A5"/>
    <w:pPr>
      <w:spacing w:after="0" w:line="240" w:lineRule="auto"/>
    </w:pPr>
  </w:style>
  <w:style w:type="character" w:styleId="Textodelmarcadordeposicin">
    <w:name w:val="Placeholder Text"/>
    <w:basedOn w:val="Fuentedeprrafopredeter"/>
    <w:uiPriority w:val="99"/>
    <w:semiHidden/>
    <w:rsid w:val="00F01BD0"/>
    <w:rPr>
      <w:color w:val="808080"/>
    </w:rPr>
  </w:style>
  <w:style w:type="character" w:styleId="Hipervnculo">
    <w:name w:val="Hyperlink"/>
    <w:basedOn w:val="Fuentedeprrafopredeter"/>
    <w:uiPriority w:val="99"/>
    <w:unhideWhenUsed/>
    <w:rsid w:val="00F53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72795">
      <w:bodyDiv w:val="1"/>
      <w:marLeft w:val="0"/>
      <w:marRight w:val="0"/>
      <w:marTop w:val="0"/>
      <w:marBottom w:val="0"/>
      <w:divBdr>
        <w:top w:val="none" w:sz="0" w:space="0" w:color="auto"/>
        <w:left w:val="none" w:sz="0" w:space="0" w:color="auto"/>
        <w:bottom w:val="none" w:sz="0" w:space="0" w:color="auto"/>
        <w:right w:val="none" w:sz="0" w:space="0" w:color="auto"/>
      </w:divBdr>
    </w:div>
    <w:div w:id="875315565">
      <w:bodyDiv w:val="1"/>
      <w:marLeft w:val="0"/>
      <w:marRight w:val="0"/>
      <w:marTop w:val="0"/>
      <w:marBottom w:val="0"/>
      <w:divBdr>
        <w:top w:val="none" w:sz="0" w:space="0" w:color="auto"/>
        <w:left w:val="none" w:sz="0" w:space="0" w:color="auto"/>
        <w:bottom w:val="none" w:sz="0" w:space="0" w:color="auto"/>
        <w:right w:val="none" w:sz="0" w:space="0" w:color="auto"/>
      </w:divBdr>
    </w:div>
    <w:div w:id="924801676">
      <w:bodyDiv w:val="1"/>
      <w:marLeft w:val="0"/>
      <w:marRight w:val="0"/>
      <w:marTop w:val="0"/>
      <w:marBottom w:val="0"/>
      <w:divBdr>
        <w:top w:val="none" w:sz="0" w:space="0" w:color="auto"/>
        <w:left w:val="none" w:sz="0" w:space="0" w:color="auto"/>
        <w:bottom w:val="none" w:sz="0" w:space="0" w:color="auto"/>
        <w:right w:val="none" w:sz="0" w:space="0" w:color="auto"/>
      </w:divBdr>
    </w:div>
    <w:div w:id="959608367">
      <w:bodyDiv w:val="1"/>
      <w:marLeft w:val="0"/>
      <w:marRight w:val="0"/>
      <w:marTop w:val="0"/>
      <w:marBottom w:val="0"/>
      <w:divBdr>
        <w:top w:val="none" w:sz="0" w:space="0" w:color="auto"/>
        <w:left w:val="none" w:sz="0" w:space="0" w:color="auto"/>
        <w:bottom w:val="none" w:sz="0" w:space="0" w:color="auto"/>
        <w:right w:val="none" w:sz="0" w:space="0" w:color="auto"/>
      </w:divBdr>
    </w:div>
    <w:div w:id="973560583">
      <w:bodyDiv w:val="1"/>
      <w:marLeft w:val="0"/>
      <w:marRight w:val="0"/>
      <w:marTop w:val="0"/>
      <w:marBottom w:val="0"/>
      <w:divBdr>
        <w:top w:val="none" w:sz="0" w:space="0" w:color="auto"/>
        <w:left w:val="none" w:sz="0" w:space="0" w:color="auto"/>
        <w:bottom w:val="none" w:sz="0" w:space="0" w:color="auto"/>
        <w:right w:val="none" w:sz="0" w:space="0" w:color="auto"/>
      </w:divBdr>
    </w:div>
    <w:div w:id="1136685457">
      <w:bodyDiv w:val="1"/>
      <w:marLeft w:val="0"/>
      <w:marRight w:val="0"/>
      <w:marTop w:val="0"/>
      <w:marBottom w:val="0"/>
      <w:divBdr>
        <w:top w:val="none" w:sz="0" w:space="0" w:color="auto"/>
        <w:left w:val="none" w:sz="0" w:space="0" w:color="auto"/>
        <w:bottom w:val="none" w:sz="0" w:space="0" w:color="auto"/>
        <w:right w:val="none" w:sz="0" w:space="0" w:color="auto"/>
      </w:divBdr>
    </w:div>
    <w:div w:id="1287083804">
      <w:bodyDiv w:val="1"/>
      <w:marLeft w:val="0"/>
      <w:marRight w:val="0"/>
      <w:marTop w:val="0"/>
      <w:marBottom w:val="0"/>
      <w:divBdr>
        <w:top w:val="none" w:sz="0" w:space="0" w:color="auto"/>
        <w:left w:val="none" w:sz="0" w:space="0" w:color="auto"/>
        <w:bottom w:val="none" w:sz="0" w:space="0" w:color="auto"/>
        <w:right w:val="none" w:sz="0" w:space="0" w:color="auto"/>
      </w:divBdr>
    </w:div>
    <w:div w:id="1339309746">
      <w:bodyDiv w:val="1"/>
      <w:marLeft w:val="0"/>
      <w:marRight w:val="0"/>
      <w:marTop w:val="0"/>
      <w:marBottom w:val="0"/>
      <w:divBdr>
        <w:top w:val="none" w:sz="0" w:space="0" w:color="auto"/>
        <w:left w:val="none" w:sz="0" w:space="0" w:color="auto"/>
        <w:bottom w:val="none" w:sz="0" w:space="0" w:color="auto"/>
        <w:right w:val="none" w:sz="0" w:space="0" w:color="auto"/>
      </w:divBdr>
    </w:div>
    <w:div w:id="1840730517">
      <w:bodyDiv w:val="1"/>
      <w:marLeft w:val="0"/>
      <w:marRight w:val="0"/>
      <w:marTop w:val="0"/>
      <w:marBottom w:val="0"/>
      <w:divBdr>
        <w:top w:val="none" w:sz="0" w:space="0" w:color="auto"/>
        <w:left w:val="none" w:sz="0" w:space="0" w:color="auto"/>
        <w:bottom w:val="none" w:sz="0" w:space="0" w:color="auto"/>
        <w:right w:val="none" w:sz="0" w:space="0" w:color="auto"/>
      </w:divBdr>
    </w:div>
    <w:div w:id="18758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3.weforum.org/docs/WEF_GlobalCompetitivenessReport_2012-13.pdf"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rgillet\Mis%20documentos\Dropbox\Cochilco\Cuadros%20y%20Gr&#224;ficos\Cuadros%20y%20Graficos%20v.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ERVER\FileServer\VOL1\USERS\PMALDONA\2013\seminario\libro\cap&#237;tulos\Excel\Cuadros%20y%20Graficos%20Subde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ERVER\FileServer\VOL1\USERS\PMALDONA\2013\seminario\libro\cap&#237;tulos\Excel\Cuadros%20y%20Graficos%20Subde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rgillet\Mis%20documentos\Dropbox\Cochilco\Cuadros%20y%20Gr&#224;ficos\Cuadros%20y%20Graficos%20v.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rgillet\Mis%20documentos\Dropbox\Cochilco\Cuadros%20y%20Gr&#224;ficos\Cuadros%20y%20Graficos%20v.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rgillet\Mis%20documentos\Dropbox\Cochilco\Cuadros%20y%20Gr&#224;ficos\Cuadros%20y%20Graficos%20v.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0" b="0" i="0" u="none" strike="noStrike" baseline="0">
                <a:solidFill>
                  <a:srgbClr val="000000"/>
                </a:solidFill>
                <a:latin typeface="Arial"/>
                <a:ea typeface="Arial"/>
                <a:cs typeface="Arial"/>
              </a:defRPr>
            </a:pPr>
            <a:r>
              <a:rPr lang="es-CL" sz="750" b="1" i="0" u="none" strike="noStrike" baseline="0">
                <a:solidFill>
                  <a:srgbClr val="000000"/>
                </a:solidFill>
                <a:latin typeface="Arial"/>
                <a:cs typeface="Arial"/>
              </a:rPr>
              <a:t>Índice de Evolución del Producto Interno Bruto per cápita por Región 1985 - 2011</a:t>
            </a:r>
          </a:p>
          <a:p>
            <a:pPr>
              <a:defRPr sz="950" b="0" i="0" u="none" strike="noStrike" baseline="0">
                <a:solidFill>
                  <a:srgbClr val="000000"/>
                </a:solidFill>
                <a:latin typeface="Arial"/>
                <a:ea typeface="Arial"/>
                <a:cs typeface="Arial"/>
              </a:defRPr>
            </a:pPr>
            <a:r>
              <a:rPr lang="es-CL" sz="750" b="0" i="0" u="none" strike="noStrike" baseline="0">
                <a:solidFill>
                  <a:srgbClr val="000000"/>
                </a:solidFill>
                <a:latin typeface="Arial"/>
                <a:cs typeface="Arial"/>
              </a:rPr>
              <a:t>(Año base 1985 = 100)</a:t>
            </a:r>
          </a:p>
        </c:rich>
      </c:tx>
      <c:layout>
        <c:manualLayout>
          <c:xMode val="edge"/>
          <c:yMode val="edge"/>
          <c:x val="0.13591181018683726"/>
          <c:y val="2.0343641206570246E-2"/>
        </c:manualLayout>
      </c:layout>
      <c:overlay val="0"/>
      <c:spPr>
        <a:noFill/>
        <a:ln w="25400">
          <a:noFill/>
        </a:ln>
      </c:spPr>
    </c:title>
    <c:autoTitleDeleted val="0"/>
    <c:plotArea>
      <c:layout>
        <c:manualLayout>
          <c:layoutTarget val="inner"/>
          <c:xMode val="edge"/>
          <c:yMode val="edge"/>
          <c:x val="7.1354705274043431E-2"/>
          <c:y val="0.13050847457628173"/>
          <c:w val="0.89503270996961759"/>
          <c:h val="0.62913030551779459"/>
        </c:manualLayout>
      </c:layout>
      <c:lineChart>
        <c:grouping val="standard"/>
        <c:varyColors val="0"/>
        <c:ser>
          <c:idx val="0"/>
          <c:order val="0"/>
          <c:tx>
            <c:strRef>
              <c:f>'\Documents and Settings\rgillet\Mis documentos\Dropbox\Cochilco\[ANT.0.xlsx]Cuadro 101'!$B$1</c:f>
              <c:strCache>
                <c:ptCount val="1"/>
                <c:pt idx="0">
                  <c:v>Tarapacá</c:v>
                </c:pt>
              </c:strCache>
            </c:strRef>
          </c:tx>
          <c:spPr>
            <a:ln w="50800">
              <a:solidFill>
                <a:srgbClr val="000080"/>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101'!$B$97:$B$123</c:f>
              <c:numCache>
                <c:formatCode>General</c:formatCode>
                <c:ptCount val="27"/>
                <c:pt idx="0">
                  <c:v>111.49894960682605</c:v>
                </c:pt>
                <c:pt idx="1">
                  <c:v>114.5550571859584</c:v>
                </c:pt>
                <c:pt idx="2">
                  <c:v>114.31572268605028</c:v>
                </c:pt>
                <c:pt idx="3">
                  <c:v>114.66955754738559</c:v>
                </c:pt>
                <c:pt idx="4">
                  <c:v>123.2935512084766</c:v>
                </c:pt>
                <c:pt idx="5">
                  <c:v>119.49311947722036</c:v>
                </c:pt>
                <c:pt idx="6">
                  <c:v>123.21896046678857</c:v>
                </c:pt>
                <c:pt idx="7">
                  <c:v>136.43372846610697</c:v>
                </c:pt>
                <c:pt idx="8">
                  <c:v>132.67995051074158</c:v>
                </c:pt>
                <c:pt idx="9">
                  <c:v>150.6610819069177</c:v>
                </c:pt>
                <c:pt idx="10">
                  <c:v>166.51579398629892</c:v>
                </c:pt>
                <c:pt idx="11">
                  <c:v>173.87792090420754</c:v>
                </c:pt>
                <c:pt idx="12">
                  <c:v>191.09954992084113</c:v>
                </c:pt>
                <c:pt idx="13">
                  <c:v>187.94899092903103</c:v>
                </c:pt>
                <c:pt idx="14">
                  <c:v>196.06510188587251</c:v>
                </c:pt>
                <c:pt idx="15">
                  <c:v>193.0479892116943</c:v>
                </c:pt>
                <c:pt idx="16">
                  <c:v>188.80423594401552</c:v>
                </c:pt>
                <c:pt idx="17">
                  <c:v>190.82885403114517</c:v>
                </c:pt>
                <c:pt idx="18">
                  <c:v>210.50969200102764</c:v>
                </c:pt>
                <c:pt idx="19">
                  <c:v>216.06122054107203</c:v>
                </c:pt>
                <c:pt idx="20">
                  <c:v>210.45322713605202</c:v>
                </c:pt>
                <c:pt idx="21">
                  <c:v>221.51925239457847</c:v>
                </c:pt>
                <c:pt idx="22">
                  <c:v>238.40254861540768</c:v>
                </c:pt>
                <c:pt idx="23">
                  <c:v>234.04525697542954</c:v>
                </c:pt>
                <c:pt idx="24">
                  <c:v>230.16000326483845</c:v>
                </c:pt>
                <c:pt idx="25">
                  <c:v>230.49835426003901</c:v>
                </c:pt>
                <c:pt idx="26">
                  <c:v>216.56618346360324</c:v>
                </c:pt>
              </c:numCache>
            </c:numRef>
          </c:val>
          <c:smooth val="1"/>
          <c:extLst>
            <c:ext xmlns:c16="http://schemas.microsoft.com/office/drawing/2014/chart" uri="{C3380CC4-5D6E-409C-BE32-E72D297353CC}">
              <c16:uniqueId val="{00000000-CD45-4FBE-BE3E-921E3C11F080}"/>
            </c:ext>
          </c:extLst>
        </c:ser>
        <c:ser>
          <c:idx val="2"/>
          <c:order val="1"/>
          <c:tx>
            <c:strRef>
              <c:f>'\Documents and Settings\rgillet\Mis documentos\Dropbox\Cochilco\[ANT.0.xlsx]Cuadro 101'!$D$80</c:f>
              <c:strCache>
                <c:ptCount val="1"/>
                <c:pt idx="0">
                  <c:v>Atacama</c:v>
                </c:pt>
              </c:strCache>
            </c:strRef>
          </c:tx>
          <c:spPr>
            <a:ln w="50800">
              <a:solidFill>
                <a:srgbClr val="FF0000"/>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101'!$D$97:$D$123</c:f>
              <c:numCache>
                <c:formatCode>General</c:formatCode>
                <c:ptCount val="27"/>
                <c:pt idx="0">
                  <c:v>128.8043199626434</c:v>
                </c:pt>
                <c:pt idx="1">
                  <c:v>127.14640491930567</c:v>
                </c:pt>
                <c:pt idx="2">
                  <c:v>135.89926155890873</c:v>
                </c:pt>
                <c:pt idx="3">
                  <c:v>141.00877207494941</c:v>
                </c:pt>
                <c:pt idx="4">
                  <c:v>153.27218054623168</c:v>
                </c:pt>
                <c:pt idx="5">
                  <c:v>156.80071474333991</c:v>
                </c:pt>
                <c:pt idx="6">
                  <c:v>182.93387672026276</c:v>
                </c:pt>
                <c:pt idx="7">
                  <c:v>204.67419498119946</c:v>
                </c:pt>
                <c:pt idx="8">
                  <c:v>223.12418589037893</c:v>
                </c:pt>
                <c:pt idx="9">
                  <c:v>251.43017946542153</c:v>
                </c:pt>
                <c:pt idx="10">
                  <c:v>283.1156884546582</c:v>
                </c:pt>
                <c:pt idx="11">
                  <c:v>318.84717715120729</c:v>
                </c:pt>
                <c:pt idx="12">
                  <c:v>330.91063003776031</c:v>
                </c:pt>
                <c:pt idx="13">
                  <c:v>347.48861277078277</c:v>
                </c:pt>
                <c:pt idx="14">
                  <c:v>337.81619599654221</c:v>
                </c:pt>
                <c:pt idx="15">
                  <c:v>328.23820225556085</c:v>
                </c:pt>
                <c:pt idx="16">
                  <c:v>340.3672788027871</c:v>
                </c:pt>
                <c:pt idx="17">
                  <c:v>324.61596278813329</c:v>
                </c:pt>
                <c:pt idx="18">
                  <c:v>329.18657208096568</c:v>
                </c:pt>
                <c:pt idx="19">
                  <c:v>328.4609748575437</c:v>
                </c:pt>
                <c:pt idx="20">
                  <c:v>333.16752014997348</c:v>
                </c:pt>
                <c:pt idx="21">
                  <c:v>363.95512099709583</c:v>
                </c:pt>
                <c:pt idx="22">
                  <c:v>391.2887674124305</c:v>
                </c:pt>
                <c:pt idx="23">
                  <c:v>420.91373237992048</c:v>
                </c:pt>
                <c:pt idx="24">
                  <c:v>401.13504528078101</c:v>
                </c:pt>
                <c:pt idx="25">
                  <c:v>458.1056166835474</c:v>
                </c:pt>
                <c:pt idx="26">
                  <c:v>510.81388011934877</c:v>
                </c:pt>
              </c:numCache>
            </c:numRef>
          </c:val>
          <c:smooth val="1"/>
          <c:extLst>
            <c:ext xmlns:c16="http://schemas.microsoft.com/office/drawing/2014/chart" uri="{C3380CC4-5D6E-409C-BE32-E72D297353CC}">
              <c16:uniqueId val="{00000001-CD45-4FBE-BE3E-921E3C11F080}"/>
            </c:ext>
          </c:extLst>
        </c:ser>
        <c:ser>
          <c:idx val="4"/>
          <c:order val="2"/>
          <c:tx>
            <c:strRef>
              <c:f>'\Documents and Settings\rgillet\Mis documentos\Dropbox\Cochilco\[ANT.0.xlsx]Cuadro 101'!$F$80</c:f>
              <c:strCache>
                <c:ptCount val="1"/>
                <c:pt idx="0">
                  <c:v>Valparaíso</c:v>
                </c:pt>
              </c:strCache>
            </c:strRef>
          </c:tx>
          <c:spPr>
            <a:ln w="50800">
              <a:solidFill>
                <a:srgbClr val="969696"/>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101'!$F$97:$F$123</c:f>
              <c:numCache>
                <c:formatCode>General</c:formatCode>
                <c:ptCount val="27"/>
                <c:pt idx="0">
                  <c:v>97.478992893470092</c:v>
                </c:pt>
                <c:pt idx="1">
                  <c:v>97.923274178210193</c:v>
                </c:pt>
                <c:pt idx="2">
                  <c:v>99.691847939835981</c:v>
                </c:pt>
                <c:pt idx="3">
                  <c:v>108.3327671149959</c:v>
                </c:pt>
                <c:pt idx="4">
                  <c:v>115.7549710729137</c:v>
                </c:pt>
                <c:pt idx="5">
                  <c:v>117.22096126328054</c:v>
                </c:pt>
                <c:pt idx="6">
                  <c:v>119.92413053320772</c:v>
                </c:pt>
                <c:pt idx="7">
                  <c:v>127.48870900316716</c:v>
                </c:pt>
                <c:pt idx="8">
                  <c:v>135.32197576670521</c:v>
                </c:pt>
                <c:pt idx="9">
                  <c:v>142.68328024453126</c:v>
                </c:pt>
                <c:pt idx="10">
                  <c:v>152.81779424804432</c:v>
                </c:pt>
                <c:pt idx="11">
                  <c:v>154.83396402665795</c:v>
                </c:pt>
                <c:pt idx="12">
                  <c:v>151.72801203171119</c:v>
                </c:pt>
                <c:pt idx="13">
                  <c:v>155.57206939614986</c:v>
                </c:pt>
                <c:pt idx="14">
                  <c:v>158.41132914733734</c:v>
                </c:pt>
                <c:pt idx="15">
                  <c:v>159.63232302757393</c:v>
                </c:pt>
                <c:pt idx="16">
                  <c:v>162.06995201996455</c:v>
                </c:pt>
                <c:pt idx="17">
                  <c:v>163.4462266771155</c:v>
                </c:pt>
                <c:pt idx="18">
                  <c:v>165.30816204083899</c:v>
                </c:pt>
                <c:pt idx="19">
                  <c:v>172.81905527738394</c:v>
                </c:pt>
                <c:pt idx="20">
                  <c:v>178.80834323210294</c:v>
                </c:pt>
                <c:pt idx="21">
                  <c:v>186.84459802330773</c:v>
                </c:pt>
                <c:pt idx="22">
                  <c:v>184.66224428229512</c:v>
                </c:pt>
                <c:pt idx="23">
                  <c:v>191.24366743442101</c:v>
                </c:pt>
                <c:pt idx="24">
                  <c:v>186.62151564212832</c:v>
                </c:pt>
                <c:pt idx="25">
                  <c:v>195.51080721556244</c:v>
                </c:pt>
                <c:pt idx="26">
                  <c:v>207.5643220394349</c:v>
                </c:pt>
              </c:numCache>
            </c:numRef>
          </c:val>
          <c:smooth val="1"/>
          <c:extLst>
            <c:ext xmlns:c16="http://schemas.microsoft.com/office/drawing/2014/chart" uri="{C3380CC4-5D6E-409C-BE32-E72D297353CC}">
              <c16:uniqueId val="{00000002-CD45-4FBE-BE3E-921E3C11F080}"/>
            </c:ext>
          </c:extLst>
        </c:ser>
        <c:ser>
          <c:idx val="5"/>
          <c:order val="3"/>
          <c:tx>
            <c:strRef>
              <c:f>'\Documents and Settings\rgillet\Mis documentos\Dropbox\Cochilco\[ANT.0.xlsx]Cuadro 102'!$G$1</c:f>
              <c:strCache>
                <c:ptCount val="1"/>
                <c:pt idx="0">
                  <c:v>O'Higgins</c:v>
                </c:pt>
              </c:strCache>
            </c:strRef>
          </c:tx>
          <c:spPr>
            <a:ln w="50800">
              <a:solidFill>
                <a:srgbClr val="993300"/>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101'!$G$97:$G$123</c:f>
              <c:numCache>
                <c:formatCode>General</c:formatCode>
                <c:ptCount val="27"/>
                <c:pt idx="0">
                  <c:v>122.71066892671931</c:v>
                </c:pt>
                <c:pt idx="1">
                  <c:v>131.87060432535833</c:v>
                </c:pt>
                <c:pt idx="2">
                  <c:v>134.41744696533758</c:v>
                </c:pt>
                <c:pt idx="3">
                  <c:v>134.09723089634278</c:v>
                </c:pt>
                <c:pt idx="4">
                  <c:v>135.95872564873065</c:v>
                </c:pt>
                <c:pt idx="5">
                  <c:v>133.86471539858121</c:v>
                </c:pt>
                <c:pt idx="6">
                  <c:v>135.86343229103554</c:v>
                </c:pt>
                <c:pt idx="7">
                  <c:v>148.24327448259581</c:v>
                </c:pt>
                <c:pt idx="8">
                  <c:v>153.04406453870257</c:v>
                </c:pt>
                <c:pt idx="9">
                  <c:v>164.22618110815159</c:v>
                </c:pt>
                <c:pt idx="10">
                  <c:v>165.92329364693478</c:v>
                </c:pt>
                <c:pt idx="11">
                  <c:v>171.16539396911458</c:v>
                </c:pt>
                <c:pt idx="12">
                  <c:v>170.07545486693036</c:v>
                </c:pt>
                <c:pt idx="13">
                  <c:v>174.38349192391729</c:v>
                </c:pt>
                <c:pt idx="14">
                  <c:v>174.2658046090024</c:v>
                </c:pt>
                <c:pt idx="15">
                  <c:v>188.21849890938714</c:v>
                </c:pt>
                <c:pt idx="16">
                  <c:v>191.22420040226856</c:v>
                </c:pt>
                <c:pt idx="17">
                  <c:v>201.55113444479596</c:v>
                </c:pt>
                <c:pt idx="18">
                  <c:v>198.61277808724708</c:v>
                </c:pt>
                <c:pt idx="19">
                  <c:v>213.51218405749063</c:v>
                </c:pt>
                <c:pt idx="20">
                  <c:v>223.21169946940489</c:v>
                </c:pt>
                <c:pt idx="21">
                  <c:v>227.6226156265455</c:v>
                </c:pt>
                <c:pt idx="22">
                  <c:v>222.55548299831753</c:v>
                </c:pt>
                <c:pt idx="23">
                  <c:v>225.37245485609665</c:v>
                </c:pt>
                <c:pt idx="24">
                  <c:v>232.0762671371987</c:v>
                </c:pt>
                <c:pt idx="25">
                  <c:v>231.60857159754701</c:v>
                </c:pt>
                <c:pt idx="26">
                  <c:v>246.04543194873361</c:v>
                </c:pt>
              </c:numCache>
            </c:numRef>
          </c:val>
          <c:smooth val="1"/>
          <c:extLst>
            <c:ext xmlns:c16="http://schemas.microsoft.com/office/drawing/2014/chart" uri="{C3380CC4-5D6E-409C-BE32-E72D297353CC}">
              <c16:uniqueId val="{00000003-CD45-4FBE-BE3E-921E3C11F080}"/>
            </c:ext>
          </c:extLst>
        </c:ser>
        <c:ser>
          <c:idx val="7"/>
          <c:order val="4"/>
          <c:tx>
            <c:strRef>
              <c:f>'\Documents and Settings\rgillet\Mis documentos\Dropbox\Cochilco\[ANT.0.xlsx]Cuadro 102'!$I$1</c:f>
              <c:strCache>
                <c:ptCount val="1"/>
                <c:pt idx="0">
                  <c:v>Bío-Bío</c:v>
                </c:pt>
              </c:strCache>
            </c:strRef>
          </c:tx>
          <c:spPr>
            <a:ln w="50800">
              <a:solidFill>
                <a:srgbClr val="CC99FF"/>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101'!$I$97:$I$123</c:f>
              <c:numCache>
                <c:formatCode>General</c:formatCode>
                <c:ptCount val="27"/>
                <c:pt idx="0">
                  <c:v>119.5054315158055</c:v>
                </c:pt>
                <c:pt idx="1">
                  <c:v>121.19220247525979</c:v>
                </c:pt>
                <c:pt idx="2">
                  <c:v>124.71944696258257</c:v>
                </c:pt>
                <c:pt idx="3">
                  <c:v>132.36183850733318</c:v>
                </c:pt>
                <c:pt idx="4">
                  <c:v>135.58136174917544</c:v>
                </c:pt>
                <c:pt idx="5">
                  <c:v>138.29337696867603</c:v>
                </c:pt>
                <c:pt idx="6">
                  <c:v>141.23138004278002</c:v>
                </c:pt>
                <c:pt idx="7">
                  <c:v>149.39490570860573</c:v>
                </c:pt>
                <c:pt idx="8">
                  <c:v>152.37925309587575</c:v>
                </c:pt>
                <c:pt idx="9">
                  <c:v>152.99886829948616</c:v>
                </c:pt>
                <c:pt idx="10">
                  <c:v>161.41650366412998</c:v>
                </c:pt>
                <c:pt idx="11">
                  <c:v>165.50436067913569</c:v>
                </c:pt>
                <c:pt idx="12">
                  <c:v>171.09930801532164</c:v>
                </c:pt>
                <c:pt idx="13">
                  <c:v>170.90306317174768</c:v>
                </c:pt>
                <c:pt idx="14">
                  <c:v>169.59725148562148</c:v>
                </c:pt>
                <c:pt idx="15">
                  <c:v>174.07318092763646</c:v>
                </c:pt>
                <c:pt idx="16">
                  <c:v>176.30308942905413</c:v>
                </c:pt>
                <c:pt idx="17">
                  <c:v>185.04544100305122</c:v>
                </c:pt>
                <c:pt idx="18">
                  <c:v>192.65093181454108</c:v>
                </c:pt>
                <c:pt idx="19">
                  <c:v>202.38829347396637</c:v>
                </c:pt>
                <c:pt idx="20">
                  <c:v>214.65934474067421</c:v>
                </c:pt>
                <c:pt idx="21">
                  <c:v>220.20188855197543</c:v>
                </c:pt>
                <c:pt idx="22">
                  <c:v>222.07841821841131</c:v>
                </c:pt>
                <c:pt idx="23">
                  <c:v>220.72288680446607</c:v>
                </c:pt>
                <c:pt idx="24">
                  <c:v>218.89068960959213</c:v>
                </c:pt>
                <c:pt idx="25">
                  <c:v>211.9762468547716</c:v>
                </c:pt>
                <c:pt idx="26">
                  <c:v>240.04689595637151</c:v>
                </c:pt>
              </c:numCache>
            </c:numRef>
          </c:val>
          <c:smooth val="1"/>
          <c:extLst>
            <c:ext xmlns:c16="http://schemas.microsoft.com/office/drawing/2014/chart" uri="{C3380CC4-5D6E-409C-BE32-E72D297353CC}">
              <c16:uniqueId val="{00000004-CD45-4FBE-BE3E-921E3C11F080}"/>
            </c:ext>
          </c:extLst>
        </c:ser>
        <c:ser>
          <c:idx val="9"/>
          <c:order val="5"/>
          <c:tx>
            <c:strRef>
              <c:f>'\Documents and Settings\rgillet\Mis documentos\Dropbox\Cochilco\[ANT.0.xlsx]Cuadro 102'!$K$1</c:f>
              <c:strCache>
                <c:ptCount val="1"/>
                <c:pt idx="0">
                  <c:v>Los Lagos</c:v>
                </c:pt>
              </c:strCache>
            </c:strRef>
          </c:tx>
          <c:spPr>
            <a:ln w="50800">
              <a:solidFill>
                <a:srgbClr val="99CC00"/>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101'!$K$97:$K$123</c:f>
              <c:numCache>
                <c:formatCode>General</c:formatCode>
                <c:ptCount val="27"/>
                <c:pt idx="0">
                  <c:v>121.95424827272309</c:v>
                </c:pt>
                <c:pt idx="1">
                  <c:v>129.25087122831133</c:v>
                </c:pt>
                <c:pt idx="2">
                  <c:v>139.68758350687912</c:v>
                </c:pt>
                <c:pt idx="3">
                  <c:v>143.05300651913132</c:v>
                </c:pt>
                <c:pt idx="4">
                  <c:v>149.19490199236031</c:v>
                </c:pt>
                <c:pt idx="5">
                  <c:v>162.29128442837265</c:v>
                </c:pt>
                <c:pt idx="6">
                  <c:v>160.82090166260426</c:v>
                </c:pt>
                <c:pt idx="7">
                  <c:v>172.74189438344212</c:v>
                </c:pt>
                <c:pt idx="8">
                  <c:v>179.30600396495274</c:v>
                </c:pt>
                <c:pt idx="9">
                  <c:v>187.32314033484116</c:v>
                </c:pt>
                <c:pt idx="10">
                  <c:v>202.90894418142304</c:v>
                </c:pt>
                <c:pt idx="11">
                  <c:v>217.18702260778517</c:v>
                </c:pt>
                <c:pt idx="12">
                  <c:v>238.52418473601483</c:v>
                </c:pt>
                <c:pt idx="13">
                  <c:v>245.6349818054982</c:v>
                </c:pt>
                <c:pt idx="14">
                  <c:v>243.64964745254903</c:v>
                </c:pt>
                <c:pt idx="15">
                  <c:v>260.36342680556743</c:v>
                </c:pt>
                <c:pt idx="16">
                  <c:v>266.97624440327951</c:v>
                </c:pt>
                <c:pt idx="17">
                  <c:v>276.31670159930349</c:v>
                </c:pt>
                <c:pt idx="18">
                  <c:v>276.86652050845407</c:v>
                </c:pt>
                <c:pt idx="19">
                  <c:v>292.19018055684705</c:v>
                </c:pt>
                <c:pt idx="20">
                  <c:v>298.66627785341012</c:v>
                </c:pt>
                <c:pt idx="21">
                  <c:v>307.14171814511036</c:v>
                </c:pt>
                <c:pt idx="22">
                  <c:v>318.58758328270443</c:v>
                </c:pt>
                <c:pt idx="23">
                  <c:v>329.94705188329982</c:v>
                </c:pt>
                <c:pt idx="24">
                  <c:v>310.31461697316178</c:v>
                </c:pt>
                <c:pt idx="25">
                  <c:v>313.06584635263744</c:v>
                </c:pt>
                <c:pt idx="26">
                  <c:v>342.93527301515712</c:v>
                </c:pt>
              </c:numCache>
            </c:numRef>
          </c:val>
          <c:smooth val="1"/>
          <c:extLst>
            <c:ext xmlns:c16="http://schemas.microsoft.com/office/drawing/2014/chart" uri="{C3380CC4-5D6E-409C-BE32-E72D297353CC}">
              <c16:uniqueId val="{00000005-CD45-4FBE-BE3E-921E3C11F080}"/>
            </c:ext>
          </c:extLst>
        </c:ser>
        <c:ser>
          <c:idx val="11"/>
          <c:order val="6"/>
          <c:tx>
            <c:strRef>
              <c:f>'\Documents and Settings\rgillet\Mis documentos\Dropbox\Cochilco\[ANT.0.xlsx]Cuadro 102'!$M$1</c:f>
              <c:strCache>
                <c:ptCount val="1"/>
                <c:pt idx="0">
                  <c:v>Magallanes</c:v>
                </c:pt>
              </c:strCache>
            </c:strRef>
          </c:tx>
          <c:spPr>
            <a:ln w="50800">
              <a:solidFill>
                <a:srgbClr val="FF6600"/>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101'!$M$97:$M$123</c:f>
              <c:numCache>
                <c:formatCode>General</c:formatCode>
                <c:ptCount val="27"/>
                <c:pt idx="0">
                  <c:v>100.40411916901522</c:v>
                </c:pt>
                <c:pt idx="1">
                  <c:v>100.67013879323794</c:v>
                </c:pt>
                <c:pt idx="2">
                  <c:v>105.21544913167705</c:v>
                </c:pt>
                <c:pt idx="3">
                  <c:v>102.70084319547794</c:v>
                </c:pt>
                <c:pt idx="4">
                  <c:v>112.60494390292007</c:v>
                </c:pt>
                <c:pt idx="5">
                  <c:v>112.62305793753171</c:v>
                </c:pt>
                <c:pt idx="6">
                  <c:v>116.65645941841683</c:v>
                </c:pt>
                <c:pt idx="7">
                  <c:v>116.44705771697059</c:v>
                </c:pt>
                <c:pt idx="8">
                  <c:v>116.87956564747462</c:v>
                </c:pt>
                <c:pt idx="9">
                  <c:v>112.04483833570502</c:v>
                </c:pt>
                <c:pt idx="10">
                  <c:v>115.076935382408</c:v>
                </c:pt>
                <c:pt idx="11">
                  <c:v>116.57197106173291</c:v>
                </c:pt>
                <c:pt idx="12">
                  <c:v>121.31423443704652</c:v>
                </c:pt>
                <c:pt idx="13">
                  <c:v>126.17605741846702</c:v>
                </c:pt>
                <c:pt idx="14">
                  <c:v>127.41836339934292</c:v>
                </c:pt>
                <c:pt idx="15">
                  <c:v>120.96140378062191</c:v>
                </c:pt>
                <c:pt idx="16">
                  <c:v>126.25873365114224</c:v>
                </c:pt>
                <c:pt idx="17">
                  <c:v>130.38884437221299</c:v>
                </c:pt>
                <c:pt idx="18">
                  <c:v>133.03989340287833</c:v>
                </c:pt>
                <c:pt idx="19">
                  <c:v>131.38353764743223</c:v>
                </c:pt>
                <c:pt idx="20">
                  <c:v>136.46504236087139</c:v>
                </c:pt>
                <c:pt idx="21">
                  <c:v>142.63017610637021</c:v>
                </c:pt>
                <c:pt idx="22">
                  <c:v>126.78302926720187</c:v>
                </c:pt>
                <c:pt idx="23">
                  <c:v>121.55772736517105</c:v>
                </c:pt>
                <c:pt idx="24">
                  <c:v>119.022642431085</c:v>
                </c:pt>
                <c:pt idx="25">
                  <c:v>117.56442879570915</c:v>
                </c:pt>
                <c:pt idx="26">
                  <c:v>120.24859592801131</c:v>
                </c:pt>
              </c:numCache>
            </c:numRef>
          </c:val>
          <c:smooth val="1"/>
          <c:extLst>
            <c:ext xmlns:c16="http://schemas.microsoft.com/office/drawing/2014/chart" uri="{C3380CC4-5D6E-409C-BE32-E72D297353CC}">
              <c16:uniqueId val="{00000006-CD45-4FBE-BE3E-921E3C11F080}"/>
            </c:ext>
          </c:extLst>
        </c:ser>
        <c:ser>
          <c:idx val="1"/>
          <c:order val="7"/>
          <c:tx>
            <c:strRef>
              <c:f>'\Documents and Settings\rgillet\Mis documentos\Dropbox\Cochilco\[ANT.0.xlsx]Cuadro 102'!$C$1</c:f>
              <c:strCache>
                <c:ptCount val="1"/>
                <c:pt idx="0">
                  <c:v>Antofagasta</c:v>
                </c:pt>
              </c:strCache>
            </c:strRef>
          </c:tx>
          <c:spPr>
            <a:ln w="50800">
              <a:solidFill>
                <a:srgbClr val="FFC000"/>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101'!$C$97:$C$123</c:f>
              <c:numCache>
                <c:formatCode>General</c:formatCode>
                <c:ptCount val="27"/>
                <c:pt idx="0">
                  <c:v>130.8784081272502</c:v>
                </c:pt>
                <c:pt idx="1">
                  <c:v>130.96047383031066</c:v>
                </c:pt>
                <c:pt idx="2">
                  <c:v>128.52023530355385</c:v>
                </c:pt>
                <c:pt idx="3">
                  <c:v>136.69612495143585</c:v>
                </c:pt>
                <c:pt idx="4">
                  <c:v>157.66895149083803</c:v>
                </c:pt>
                <c:pt idx="5">
                  <c:v>156.65223298012677</c:v>
                </c:pt>
                <c:pt idx="6">
                  <c:v>172.83076044997526</c:v>
                </c:pt>
                <c:pt idx="7">
                  <c:v>171.3743086128448</c:v>
                </c:pt>
                <c:pt idx="8">
                  <c:v>173.596339438277</c:v>
                </c:pt>
                <c:pt idx="9">
                  <c:v>185.74241149828771</c:v>
                </c:pt>
                <c:pt idx="10">
                  <c:v>192.10348121884925</c:v>
                </c:pt>
                <c:pt idx="11">
                  <c:v>231.29916233507157</c:v>
                </c:pt>
                <c:pt idx="12">
                  <c:v>254.78982350570112</c:v>
                </c:pt>
                <c:pt idx="13">
                  <c:v>281.06177193764154</c:v>
                </c:pt>
                <c:pt idx="14">
                  <c:v>270.90167879643695</c:v>
                </c:pt>
                <c:pt idx="15">
                  <c:v>261.19799915783364</c:v>
                </c:pt>
                <c:pt idx="16">
                  <c:v>295.74915808568687</c:v>
                </c:pt>
                <c:pt idx="17">
                  <c:v>281.43346434597862</c:v>
                </c:pt>
                <c:pt idx="18">
                  <c:v>295.04306979112584</c:v>
                </c:pt>
                <c:pt idx="19">
                  <c:v>303.23315549956925</c:v>
                </c:pt>
                <c:pt idx="20">
                  <c:v>304.61364924986532</c:v>
                </c:pt>
                <c:pt idx="21">
                  <c:v>305.99220928138004</c:v>
                </c:pt>
                <c:pt idx="22">
                  <c:v>311.23491673461365</c:v>
                </c:pt>
                <c:pt idx="23">
                  <c:v>309.61100247179769</c:v>
                </c:pt>
                <c:pt idx="24">
                  <c:v>296.20872243189098</c:v>
                </c:pt>
                <c:pt idx="25">
                  <c:v>304.91779108547576</c:v>
                </c:pt>
                <c:pt idx="26">
                  <c:v>286.2762532330475</c:v>
                </c:pt>
              </c:numCache>
            </c:numRef>
          </c:val>
          <c:smooth val="1"/>
          <c:extLst>
            <c:ext xmlns:c16="http://schemas.microsoft.com/office/drawing/2014/chart" uri="{C3380CC4-5D6E-409C-BE32-E72D297353CC}">
              <c16:uniqueId val="{00000007-CD45-4FBE-BE3E-921E3C11F080}"/>
            </c:ext>
          </c:extLst>
        </c:ser>
        <c:ser>
          <c:idx val="3"/>
          <c:order val="8"/>
          <c:tx>
            <c:strRef>
              <c:f>'\Documents and Settings\rgillet\Mis documentos\Dropbox\Cochilco\[ANT.0.xlsx]Cuadro 102'!$E$1</c:f>
              <c:strCache>
                <c:ptCount val="1"/>
                <c:pt idx="0">
                  <c:v>Coquimbo</c:v>
                </c:pt>
              </c:strCache>
            </c:strRef>
          </c:tx>
          <c:spPr>
            <a:ln w="50800">
              <a:solidFill>
                <a:srgbClr val="00FF00"/>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101'!$E$97:$E$123</c:f>
              <c:numCache>
                <c:formatCode>General</c:formatCode>
                <c:ptCount val="27"/>
                <c:pt idx="0">
                  <c:v>143.67617593260417</c:v>
                </c:pt>
                <c:pt idx="1">
                  <c:v>149.90913299544337</c:v>
                </c:pt>
                <c:pt idx="2">
                  <c:v>149.42356531585762</c:v>
                </c:pt>
                <c:pt idx="3">
                  <c:v>176.52317598761761</c:v>
                </c:pt>
                <c:pt idx="4">
                  <c:v>184.75103635979104</c:v>
                </c:pt>
                <c:pt idx="5">
                  <c:v>186.64232823450479</c:v>
                </c:pt>
                <c:pt idx="6">
                  <c:v>194.57352364138239</c:v>
                </c:pt>
                <c:pt idx="7">
                  <c:v>214.00052478498347</c:v>
                </c:pt>
                <c:pt idx="8">
                  <c:v>206.06707813098984</c:v>
                </c:pt>
                <c:pt idx="9">
                  <c:v>220.76439791525803</c:v>
                </c:pt>
                <c:pt idx="10">
                  <c:v>232.19684883471649</c:v>
                </c:pt>
                <c:pt idx="11">
                  <c:v>237.47744316311886</c:v>
                </c:pt>
                <c:pt idx="12">
                  <c:v>239.94404030300544</c:v>
                </c:pt>
                <c:pt idx="13">
                  <c:v>254.8496662475427</c:v>
                </c:pt>
                <c:pt idx="14">
                  <c:v>264.79811442626306</c:v>
                </c:pt>
                <c:pt idx="15">
                  <c:v>295.10128784611192</c:v>
                </c:pt>
                <c:pt idx="16">
                  <c:v>288.81041085494837</c:v>
                </c:pt>
                <c:pt idx="17">
                  <c:v>279.69549395215637</c:v>
                </c:pt>
                <c:pt idx="18">
                  <c:v>289.56164141483077</c:v>
                </c:pt>
                <c:pt idx="19">
                  <c:v>298.52951683796715</c:v>
                </c:pt>
                <c:pt idx="20">
                  <c:v>305.15539744021441</c:v>
                </c:pt>
                <c:pt idx="21">
                  <c:v>312.2227447944075</c:v>
                </c:pt>
                <c:pt idx="22">
                  <c:v>327.94589191185162</c:v>
                </c:pt>
                <c:pt idx="23">
                  <c:v>352.72362261321967</c:v>
                </c:pt>
                <c:pt idx="24">
                  <c:v>328.07389199779425</c:v>
                </c:pt>
                <c:pt idx="25">
                  <c:v>352.656349603499</c:v>
                </c:pt>
                <c:pt idx="26">
                  <c:v>382.91341501776333</c:v>
                </c:pt>
              </c:numCache>
            </c:numRef>
          </c:val>
          <c:smooth val="1"/>
          <c:extLst>
            <c:ext xmlns:c16="http://schemas.microsoft.com/office/drawing/2014/chart" uri="{C3380CC4-5D6E-409C-BE32-E72D297353CC}">
              <c16:uniqueId val="{00000008-CD45-4FBE-BE3E-921E3C11F080}"/>
            </c:ext>
          </c:extLst>
        </c:ser>
        <c:ser>
          <c:idx val="12"/>
          <c:order val="9"/>
          <c:tx>
            <c:strRef>
              <c:f>'\Documents and Settings\rgillet\Mis documentos\Dropbox\Cochilco\[ANT.0.xlsx]Cuadro 102'!$N$1</c:f>
              <c:strCache>
                <c:ptCount val="1"/>
                <c:pt idx="0">
                  <c:v>Santiago</c:v>
                </c:pt>
              </c:strCache>
            </c:strRef>
          </c:tx>
          <c:spPr>
            <a:ln w="50800">
              <a:solidFill>
                <a:srgbClr val="00FFFF"/>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101'!$N$97:$N$123</c:f>
              <c:numCache>
                <c:formatCode>General</c:formatCode>
                <c:ptCount val="27"/>
                <c:pt idx="0">
                  <c:v>80.346092249242801</c:v>
                </c:pt>
                <c:pt idx="1">
                  <c:v>84.763191280770641</c:v>
                </c:pt>
                <c:pt idx="2">
                  <c:v>89.820442376406078</c:v>
                </c:pt>
                <c:pt idx="3">
                  <c:v>94.041859855916272</c:v>
                </c:pt>
                <c:pt idx="4">
                  <c:v>102.78156797574532</c:v>
                </c:pt>
                <c:pt idx="5">
                  <c:v>103.40268830960839</c:v>
                </c:pt>
                <c:pt idx="6">
                  <c:v>111.19750191288919</c:v>
                </c:pt>
                <c:pt idx="7">
                  <c:v>124.55010577984302</c:v>
                </c:pt>
                <c:pt idx="8">
                  <c:v>132.24524896989402</c:v>
                </c:pt>
                <c:pt idx="9">
                  <c:v>133.71123728423709</c:v>
                </c:pt>
                <c:pt idx="10">
                  <c:v>145.53151456740596</c:v>
                </c:pt>
                <c:pt idx="11">
                  <c:v>152.86840629993685</c:v>
                </c:pt>
                <c:pt idx="12">
                  <c:v>162.65837799545676</c:v>
                </c:pt>
                <c:pt idx="13">
                  <c:v>162.52961781362495</c:v>
                </c:pt>
                <c:pt idx="14">
                  <c:v>156.8748097085344</c:v>
                </c:pt>
                <c:pt idx="15">
                  <c:v>161.8997647086843</c:v>
                </c:pt>
                <c:pt idx="16">
                  <c:v>164.10062493139051</c:v>
                </c:pt>
                <c:pt idx="17">
                  <c:v>165.69142896456736</c:v>
                </c:pt>
                <c:pt idx="18">
                  <c:v>169.76456591142198</c:v>
                </c:pt>
                <c:pt idx="19">
                  <c:v>178.16864977093286</c:v>
                </c:pt>
                <c:pt idx="20">
                  <c:v>186.44187765708466</c:v>
                </c:pt>
                <c:pt idx="21">
                  <c:v>192.48834347860858</c:v>
                </c:pt>
                <c:pt idx="22">
                  <c:v>201.06754232151087</c:v>
                </c:pt>
                <c:pt idx="23">
                  <c:v>204.95861180245066</c:v>
                </c:pt>
                <c:pt idx="24">
                  <c:v>202.24011098865518</c:v>
                </c:pt>
                <c:pt idx="25">
                  <c:v>212.32360264290637</c:v>
                </c:pt>
                <c:pt idx="26">
                  <c:v>226.13555746704415</c:v>
                </c:pt>
              </c:numCache>
            </c:numRef>
          </c:val>
          <c:smooth val="1"/>
          <c:extLst>
            <c:ext xmlns:c16="http://schemas.microsoft.com/office/drawing/2014/chart" uri="{C3380CC4-5D6E-409C-BE32-E72D297353CC}">
              <c16:uniqueId val="{00000009-CD45-4FBE-BE3E-921E3C11F080}"/>
            </c:ext>
          </c:extLst>
        </c:ser>
        <c:ser>
          <c:idx val="6"/>
          <c:order val="10"/>
          <c:tx>
            <c:strRef>
              <c:f>'\Documents and Settings\rgillet\Mis documentos\Dropbox\Cochilco\[ANT.0.xlsx]Cuadro 102'!$H$1</c:f>
              <c:strCache>
                <c:ptCount val="1"/>
                <c:pt idx="0">
                  <c:v>Maule</c:v>
                </c:pt>
              </c:strCache>
            </c:strRef>
          </c:tx>
          <c:spPr>
            <a:ln w="50800">
              <a:solidFill>
                <a:srgbClr val="008000"/>
              </a:solidFill>
              <a:prstDash val="solid"/>
              <a:roun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101'!$H$97:$H$123</c:f>
              <c:numCache>
                <c:formatCode>General</c:formatCode>
                <c:ptCount val="27"/>
                <c:pt idx="0">
                  <c:v>126.9635999889357</c:v>
                </c:pt>
                <c:pt idx="1">
                  <c:v>135.34914667449547</c:v>
                </c:pt>
                <c:pt idx="2">
                  <c:v>138.96174346121967</c:v>
                </c:pt>
                <c:pt idx="3">
                  <c:v>149.60407349937</c:v>
                </c:pt>
                <c:pt idx="4">
                  <c:v>153.18622126297058</c:v>
                </c:pt>
                <c:pt idx="5">
                  <c:v>158.26838053314384</c:v>
                </c:pt>
                <c:pt idx="6">
                  <c:v>172.73347714950401</c:v>
                </c:pt>
                <c:pt idx="7">
                  <c:v>197.21815432957152</c:v>
                </c:pt>
                <c:pt idx="8">
                  <c:v>199.66002022531498</c:v>
                </c:pt>
                <c:pt idx="9">
                  <c:v>220.74711731410258</c:v>
                </c:pt>
                <c:pt idx="10">
                  <c:v>237.21512072628258</c:v>
                </c:pt>
                <c:pt idx="11">
                  <c:v>236.75696324310391</c:v>
                </c:pt>
                <c:pt idx="12">
                  <c:v>242.563161732487</c:v>
                </c:pt>
                <c:pt idx="13">
                  <c:v>246.23675015942942</c:v>
                </c:pt>
                <c:pt idx="14">
                  <c:v>243.44761645719922</c:v>
                </c:pt>
                <c:pt idx="15">
                  <c:v>263.85782098586492</c:v>
                </c:pt>
                <c:pt idx="16">
                  <c:v>275.3044728569281</c:v>
                </c:pt>
                <c:pt idx="17">
                  <c:v>275.36754266736023</c:v>
                </c:pt>
                <c:pt idx="18">
                  <c:v>280.73200463436183</c:v>
                </c:pt>
                <c:pt idx="19">
                  <c:v>293.66512273547079</c:v>
                </c:pt>
                <c:pt idx="20">
                  <c:v>315.0481230527306</c:v>
                </c:pt>
                <c:pt idx="21">
                  <c:v>331.26144736703048</c:v>
                </c:pt>
                <c:pt idx="22">
                  <c:v>327.58939474227111</c:v>
                </c:pt>
                <c:pt idx="23">
                  <c:v>335.17384303759945</c:v>
                </c:pt>
                <c:pt idx="24">
                  <c:v>324.02810290797254</c:v>
                </c:pt>
                <c:pt idx="25">
                  <c:v>326.24161531836722</c:v>
                </c:pt>
                <c:pt idx="26">
                  <c:v>364.95216979183232</c:v>
                </c:pt>
              </c:numCache>
            </c:numRef>
          </c:val>
          <c:smooth val="1"/>
          <c:extLst>
            <c:ext xmlns:c16="http://schemas.microsoft.com/office/drawing/2014/chart" uri="{C3380CC4-5D6E-409C-BE32-E72D297353CC}">
              <c16:uniqueId val="{0000000A-CD45-4FBE-BE3E-921E3C11F080}"/>
            </c:ext>
          </c:extLst>
        </c:ser>
        <c:ser>
          <c:idx val="8"/>
          <c:order val="11"/>
          <c:tx>
            <c:strRef>
              <c:f>'\Documents and Settings\rgillet\Mis documentos\Dropbox\Cochilco\[ANT.0.xlsx]Cuadro 102'!$J$1</c:f>
              <c:strCache>
                <c:ptCount val="1"/>
                <c:pt idx="0">
                  <c:v>La Araucanía</c:v>
                </c:pt>
              </c:strCache>
            </c:strRef>
          </c:tx>
          <c:spPr>
            <a:ln w="50800">
              <a:solidFill>
                <a:srgbClr val="800080"/>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101'!$J$97:$J$123</c:f>
              <c:numCache>
                <c:formatCode>General</c:formatCode>
                <c:ptCount val="27"/>
                <c:pt idx="0">
                  <c:v>124.72787984473925</c:v>
                </c:pt>
                <c:pt idx="1">
                  <c:v>123.38916530400712</c:v>
                </c:pt>
                <c:pt idx="2">
                  <c:v>137.46537058351868</c:v>
                </c:pt>
                <c:pt idx="3">
                  <c:v>151.24785645066009</c:v>
                </c:pt>
                <c:pt idx="4">
                  <c:v>159.63840763892546</c:v>
                </c:pt>
                <c:pt idx="5">
                  <c:v>160.08189703737892</c:v>
                </c:pt>
                <c:pt idx="6">
                  <c:v>162.45582849500991</c:v>
                </c:pt>
                <c:pt idx="7">
                  <c:v>182.17827478839936</c:v>
                </c:pt>
                <c:pt idx="8">
                  <c:v>196.4027493813858</c:v>
                </c:pt>
                <c:pt idx="9">
                  <c:v>196.65643066630153</c:v>
                </c:pt>
                <c:pt idx="10">
                  <c:v>214.42665752808557</c:v>
                </c:pt>
                <c:pt idx="11">
                  <c:v>219.43742218622978</c:v>
                </c:pt>
                <c:pt idx="12">
                  <c:v>231.80300931374842</c:v>
                </c:pt>
                <c:pt idx="13">
                  <c:v>236.05770737571638</c:v>
                </c:pt>
                <c:pt idx="14">
                  <c:v>231.37644332613579</c:v>
                </c:pt>
                <c:pt idx="15">
                  <c:v>244.70808470516633</c:v>
                </c:pt>
                <c:pt idx="16">
                  <c:v>239.00147377482415</c:v>
                </c:pt>
                <c:pt idx="17">
                  <c:v>245.07177709890175</c:v>
                </c:pt>
                <c:pt idx="18">
                  <c:v>246.35048841442608</c:v>
                </c:pt>
                <c:pt idx="19">
                  <c:v>257.51842700484463</c:v>
                </c:pt>
                <c:pt idx="20">
                  <c:v>272.48664290615261</c:v>
                </c:pt>
                <c:pt idx="21">
                  <c:v>282.79515146653824</c:v>
                </c:pt>
                <c:pt idx="22">
                  <c:v>298.950132379656</c:v>
                </c:pt>
                <c:pt idx="23">
                  <c:v>303.49423534728334</c:v>
                </c:pt>
                <c:pt idx="24">
                  <c:v>289.60661549494529</c:v>
                </c:pt>
                <c:pt idx="25">
                  <c:v>302.61856571527017</c:v>
                </c:pt>
                <c:pt idx="26">
                  <c:v>327.52653877915799</c:v>
                </c:pt>
              </c:numCache>
            </c:numRef>
          </c:val>
          <c:smooth val="1"/>
          <c:extLst>
            <c:ext xmlns:c16="http://schemas.microsoft.com/office/drawing/2014/chart" uri="{C3380CC4-5D6E-409C-BE32-E72D297353CC}">
              <c16:uniqueId val="{0000000B-CD45-4FBE-BE3E-921E3C11F080}"/>
            </c:ext>
          </c:extLst>
        </c:ser>
        <c:ser>
          <c:idx val="10"/>
          <c:order val="12"/>
          <c:tx>
            <c:strRef>
              <c:f>'\Documents and Settings\rgillet\Mis documentos\Dropbox\Cochilco\[ANT.0.xlsx]Cuadro 102'!$L$1</c:f>
              <c:strCache>
                <c:ptCount val="1"/>
                <c:pt idx="0">
                  <c:v>Aysén</c:v>
                </c:pt>
              </c:strCache>
            </c:strRef>
          </c:tx>
          <c:spPr>
            <a:ln w="50800">
              <a:solidFill>
                <a:srgbClr val="3366FF"/>
              </a:solidFill>
              <a:prstDash val="solid"/>
            </a:ln>
          </c:spPr>
          <c:marker>
            <c:symbol val="none"/>
          </c:marker>
          <c:cat>
            <c:numRef>
              <c:f>'\Documents and Settings\rgillet\Mis documentos\Dropbox\Cochilco\[ANT.0.xlsx]Cuadro 101'!$A$97:$A$123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'\Documents and Settings\rgillet\Mis documentos\Dropbox\Cochilco\[ANT.0.xlsx]Cuadro 101'!$L$97:$L$123</c:f>
              <c:numCache>
                <c:formatCode>General</c:formatCode>
                <c:ptCount val="27"/>
                <c:pt idx="0">
                  <c:v>101.96818377784851</c:v>
                </c:pt>
                <c:pt idx="1">
                  <c:v>107.03192595492668</c:v>
                </c:pt>
                <c:pt idx="2">
                  <c:v>113.30271905504188</c:v>
                </c:pt>
                <c:pt idx="3">
                  <c:v>114.01603127952305</c:v>
                </c:pt>
                <c:pt idx="4">
                  <c:v>113.05922602929088</c:v>
                </c:pt>
                <c:pt idx="5">
                  <c:v>114.59090201392516</c:v>
                </c:pt>
                <c:pt idx="6">
                  <c:v>113.68191748954766</c:v>
                </c:pt>
                <c:pt idx="7">
                  <c:v>118.52887833435202</c:v>
                </c:pt>
                <c:pt idx="8">
                  <c:v>125.02842277717447</c:v>
                </c:pt>
                <c:pt idx="9">
                  <c:v>137.59375511963307</c:v>
                </c:pt>
                <c:pt idx="10">
                  <c:v>137.35534488566023</c:v>
                </c:pt>
                <c:pt idx="11">
                  <c:v>152.3461724665132</c:v>
                </c:pt>
                <c:pt idx="12">
                  <c:v>171.53080140032242</c:v>
                </c:pt>
                <c:pt idx="13">
                  <c:v>172.98315343838112</c:v>
                </c:pt>
                <c:pt idx="14">
                  <c:v>181.91808946019833</c:v>
                </c:pt>
                <c:pt idx="15">
                  <c:v>186.22079327216031</c:v>
                </c:pt>
                <c:pt idx="16">
                  <c:v>201.71013836895088</c:v>
                </c:pt>
                <c:pt idx="17">
                  <c:v>220.02194800098155</c:v>
                </c:pt>
                <c:pt idx="18">
                  <c:v>216.34551478598402</c:v>
                </c:pt>
                <c:pt idx="19">
                  <c:v>226.57754762178638</c:v>
                </c:pt>
                <c:pt idx="20">
                  <c:v>250.30616320512289</c:v>
                </c:pt>
                <c:pt idx="21">
                  <c:v>242.46732785012912</c:v>
                </c:pt>
                <c:pt idx="22">
                  <c:v>271.63122066583429</c:v>
                </c:pt>
                <c:pt idx="23">
                  <c:v>279.5471132068526</c:v>
                </c:pt>
                <c:pt idx="24">
                  <c:v>247.9867237404718</c:v>
                </c:pt>
                <c:pt idx="25">
                  <c:v>239.33676239146746</c:v>
                </c:pt>
                <c:pt idx="26">
                  <c:v>258.7335771533223</c:v>
                </c:pt>
              </c:numCache>
            </c:numRef>
          </c:val>
          <c:smooth val="1"/>
          <c:extLst>
            <c:ext xmlns:c16="http://schemas.microsoft.com/office/drawing/2014/chart" uri="{C3380CC4-5D6E-409C-BE32-E72D297353CC}">
              <c16:uniqueId val="{0000000C-CD45-4FBE-BE3E-921E3C11F080}"/>
            </c:ext>
          </c:extLst>
        </c:ser>
        <c:dLbls>
          <c:showLegendKey val="0"/>
          <c:showVal val="0"/>
          <c:showCatName val="0"/>
          <c:showSerName val="0"/>
          <c:showPercent val="0"/>
          <c:showBubbleSize val="0"/>
        </c:dLbls>
        <c:smooth val="0"/>
        <c:axId val="246935936"/>
        <c:axId val="246937472"/>
      </c:lineChart>
      <c:catAx>
        <c:axId val="246935936"/>
        <c:scaling>
          <c:orientation val="minMax"/>
        </c:scaling>
        <c:delete val="0"/>
        <c:axPos val="b"/>
        <c:numFmt formatCode="General" sourceLinked="1"/>
        <c:majorTickMark val="out"/>
        <c:minorTickMark val="none"/>
        <c:tickLblPos val="nextTo"/>
        <c:spPr>
          <a:ln w="3175">
            <a:solidFill>
              <a:srgbClr val="808080"/>
            </a:solidFill>
            <a:prstDash val="solid"/>
          </a:ln>
        </c:spPr>
        <c:txPr>
          <a:bodyPr rot="-2820000" vert="horz"/>
          <a:lstStyle/>
          <a:p>
            <a:pPr>
              <a:defRPr sz="700" b="0" i="0" u="none" strike="noStrike" baseline="0">
                <a:solidFill>
                  <a:srgbClr val="000000"/>
                </a:solidFill>
                <a:latin typeface="Arial"/>
                <a:ea typeface="Arial"/>
                <a:cs typeface="Arial"/>
              </a:defRPr>
            </a:pPr>
            <a:endParaRPr lang="es-CL"/>
          </a:p>
        </c:txPr>
        <c:crossAx val="246937472"/>
        <c:crosses val="autoZero"/>
        <c:auto val="1"/>
        <c:lblAlgn val="ctr"/>
        <c:lblOffset val="100"/>
        <c:tickLblSkip val="1"/>
        <c:tickMarkSkip val="1"/>
        <c:noMultiLvlLbl val="0"/>
      </c:catAx>
      <c:valAx>
        <c:axId val="246937472"/>
        <c:scaling>
          <c:orientation val="minMax"/>
          <c:min val="50"/>
        </c:scaling>
        <c:delete val="0"/>
        <c:axPos val="l"/>
        <c:majorGridlines>
          <c:spPr>
            <a:ln w="3175">
              <a:noFill/>
              <a:prstDash val="solid"/>
            </a:ln>
          </c:spPr>
        </c:majorGridlines>
        <c:numFmt formatCode="General" sourceLinked="1"/>
        <c:majorTickMark val="out"/>
        <c:minorTickMark val="none"/>
        <c:tickLblPos val="nextTo"/>
        <c:spPr>
          <a:noFill/>
          <a:ln w="3175">
            <a:solidFill>
              <a:srgbClr val="808080"/>
            </a:solidFill>
            <a:prstDash val="solid"/>
          </a:ln>
        </c:spPr>
        <c:txPr>
          <a:bodyPr rot="0" vert="horz"/>
          <a:lstStyle/>
          <a:p>
            <a:pPr>
              <a:defRPr sz="700" b="0" i="0" u="none" strike="noStrike" baseline="0">
                <a:solidFill>
                  <a:srgbClr val="000000"/>
                </a:solidFill>
                <a:latin typeface="Arial"/>
                <a:ea typeface="Arial"/>
                <a:cs typeface="Arial"/>
              </a:defRPr>
            </a:pPr>
            <a:endParaRPr lang="es-CL"/>
          </a:p>
        </c:txPr>
        <c:crossAx val="246935936"/>
        <c:crosses val="autoZero"/>
        <c:crossBetween val="between"/>
      </c:valAx>
      <c:spPr>
        <a:noFill/>
        <a:ln w="0">
          <a:noFill/>
          <a:prstDash val="solid"/>
        </a:ln>
      </c:spPr>
    </c:plotArea>
    <c:legend>
      <c:legendPos val="b"/>
      <c:layout>
        <c:manualLayout>
          <c:xMode val="edge"/>
          <c:yMode val="edge"/>
          <c:x val="2.1133004608354381E-2"/>
          <c:y val="0.87242823899133537"/>
          <c:w val="0.96674942493143412"/>
          <c:h val="0.10002449527577754"/>
        </c:manualLayout>
      </c:layout>
      <c:overlay val="0"/>
      <c:spPr>
        <a:solidFill>
          <a:srgbClr val="FFFFFF"/>
        </a:solidFill>
        <a:ln w="3175">
          <a:noFill/>
          <a:prstDash val="solid"/>
        </a:ln>
      </c:spPr>
      <c:txPr>
        <a:bodyPr/>
        <a:lstStyle/>
        <a:p>
          <a:pPr>
            <a:defRPr sz="600" b="0" i="0" u="none" strike="noStrike" baseline="0">
              <a:solidFill>
                <a:srgbClr val="000000"/>
              </a:solidFill>
              <a:latin typeface="Arial"/>
              <a:ea typeface="Arial"/>
              <a:cs typeface="Arial"/>
            </a:defRPr>
          </a:pPr>
          <a:endParaRPr lang="es-CL"/>
        </a:p>
      </c:txPr>
    </c:legend>
    <c:plotVisOnly val="1"/>
    <c:dispBlanksAs val="gap"/>
    <c:showDLblsOverMax val="0"/>
  </c:chart>
  <c:spPr>
    <a:noFill/>
    <a:ln w="9525">
      <a:noFill/>
    </a:ln>
  </c:spPr>
  <c:txPr>
    <a:bodyPr/>
    <a:lstStyle/>
    <a:p>
      <a:pPr>
        <a:defRPr sz="950" b="0" i="0" u="none" strike="noStrike" baseline="0">
          <a:solidFill>
            <a:srgbClr val="000000"/>
          </a:solidFill>
          <a:latin typeface="Arial"/>
          <a:ea typeface="Arial"/>
          <a:cs typeface="Arial"/>
        </a:defRPr>
      </a:pPr>
      <a:endParaRPr lang="es-C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AR" sz="950" b="0" i="0" u="none" strike="noStrike" baseline="0">
                <a:solidFill>
                  <a:srgbClr val="000000"/>
                </a:solidFill>
                <a:latin typeface="Arial"/>
                <a:ea typeface="Arial"/>
                <a:cs typeface="Arial"/>
              </a:defRPr>
            </a:pPr>
            <a:r>
              <a:rPr lang="es-CL" sz="750" b="1" i="0" u="none" strike="noStrike" baseline="0">
                <a:solidFill>
                  <a:srgbClr val="000000"/>
                </a:solidFill>
                <a:latin typeface="Arial"/>
                <a:cs typeface="Arial"/>
              </a:rPr>
              <a:t>Producto Interno Bruto per cápita por Región 1985 - 2011</a:t>
            </a:r>
          </a:p>
          <a:p>
            <a:pPr>
              <a:defRPr lang="es-AR" sz="950" b="0" i="0" u="none" strike="noStrike" baseline="0">
                <a:solidFill>
                  <a:srgbClr val="000000"/>
                </a:solidFill>
                <a:latin typeface="Arial"/>
                <a:ea typeface="Arial"/>
                <a:cs typeface="Arial"/>
              </a:defRPr>
            </a:pPr>
            <a:r>
              <a:rPr lang="es-CL" sz="750" b="0" i="0" u="none" strike="noStrike" baseline="0">
                <a:solidFill>
                  <a:srgbClr val="000000"/>
                </a:solidFill>
                <a:latin typeface="Arial"/>
                <a:cs typeface="Arial"/>
              </a:rPr>
              <a:t>(en $ de 2003)</a:t>
            </a:r>
          </a:p>
        </c:rich>
      </c:tx>
      <c:layout>
        <c:manualLayout>
          <c:xMode val="edge"/>
          <c:yMode val="edge"/>
          <c:x val="0.25019274077597714"/>
          <c:y val="2.3727844830207036E-2"/>
        </c:manualLayout>
      </c:layout>
      <c:overlay val="0"/>
      <c:spPr>
        <a:noFill/>
        <a:ln w="25400">
          <a:noFill/>
        </a:ln>
      </c:spPr>
    </c:title>
    <c:autoTitleDeleted val="0"/>
    <c:plotArea>
      <c:layout>
        <c:manualLayout>
          <c:layoutTarget val="inner"/>
          <c:xMode val="edge"/>
          <c:yMode val="edge"/>
          <c:x val="8.7465938244540117E-2"/>
          <c:y val="0.15424842164999644"/>
          <c:w val="0.89662335547286431"/>
          <c:h val="0.62334924350672383"/>
        </c:manualLayout>
      </c:layout>
      <c:lineChart>
        <c:grouping val="standard"/>
        <c:varyColors val="0"/>
        <c:ser>
          <c:idx val="0"/>
          <c:order val="0"/>
          <c:tx>
            <c:v>Tarapacá</c:v>
          </c:tx>
          <c:spPr>
            <a:ln w="50800">
              <a:solidFill>
                <a:srgbClr val="000080"/>
              </a:solidFill>
              <a:prstDash val="solid"/>
            </a:ln>
          </c:spPr>
          <c:marker>
            <c:symbol val="none"/>
          </c:marker>
          <c:cat>
            <c:numLit>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Lit>
          </c:cat>
          <c:val>
            <c:numLit>
              <c:formatCode>#,##0</c:formatCode>
              <c:ptCount val="27"/>
              <c:pt idx="0">
                <c:v>2212588.5453515011</c:v>
              </c:pt>
              <c:pt idx="1">
                <c:v>2273234.0370515967</c:v>
              </c:pt>
              <c:pt idx="2">
                <c:v>2268484.6759601114</c:v>
              </c:pt>
              <c:pt idx="3">
                <c:v>2275506.1857043514</c:v>
              </c:pt>
              <c:pt idx="4">
                <c:v>2446640.9780678614</c:v>
              </c:pt>
              <c:pt idx="5">
                <c:v>2371225.0952669987</c:v>
              </c:pt>
              <c:pt idx="6">
                <c:v>2445160.7971223919</c:v>
              </c:pt>
              <c:pt idx="7">
                <c:v>2707395.0550043974</c:v>
              </c:pt>
              <c:pt idx="8">
                <c:v>2632904.9711504956</c:v>
              </c:pt>
              <c:pt idx="9">
                <c:v>2989723.0891680317</c:v>
              </c:pt>
              <c:pt idx="10">
                <c:v>3304344.4776240308</c:v>
              </c:pt>
              <c:pt idx="11">
                <c:v>3450438.7479775101</c:v>
              </c:pt>
              <c:pt idx="12">
                <c:v>3792185.277687991</c:v>
              </c:pt>
              <c:pt idx="13">
                <c:v>3729665.4892835761</c:v>
              </c:pt>
              <c:pt idx="14">
                <c:v>3890721.8418253046</c:v>
              </c:pt>
              <c:pt idx="15">
                <c:v>3830850.1662044902</c:v>
              </c:pt>
              <c:pt idx="16">
                <c:v>3746636.9973587301</c:v>
              </c:pt>
              <c:pt idx="17">
                <c:v>3786813.58022423</c:v>
              </c:pt>
              <c:pt idx="18">
                <c:v>4177360.7271582042</c:v>
              </c:pt>
              <c:pt idx="19">
                <c:v>4287525.428262637</c:v>
              </c:pt>
              <c:pt idx="20">
                <c:v>4176240.2366612009</c:v>
              </c:pt>
              <c:pt idx="21">
                <c:v>4395834.7782772956</c:v>
              </c:pt>
              <c:pt idx="22">
                <c:v>4730867.4217031598</c:v>
              </c:pt>
              <c:pt idx="23">
                <c:v>4644401.1939461436</c:v>
              </c:pt>
              <c:pt idx="24">
                <c:v>4567302.1012089327</c:v>
              </c:pt>
              <c:pt idx="25">
                <c:v>4574016.3486429183</c:v>
              </c:pt>
              <c:pt idx="26">
                <c:v>4297545.9278472494</c:v>
              </c:pt>
            </c:numLit>
          </c:val>
          <c:smooth val="1"/>
          <c:extLst>
            <c:ext xmlns:c16="http://schemas.microsoft.com/office/drawing/2014/chart" uri="{C3380CC4-5D6E-409C-BE32-E72D297353CC}">
              <c16:uniqueId val="{00000000-910F-404F-807A-AC6D26C4BE34}"/>
            </c:ext>
          </c:extLst>
        </c:ser>
        <c:ser>
          <c:idx val="4"/>
          <c:order val="1"/>
          <c:tx>
            <c:v>Atacama</c:v>
          </c:tx>
          <c:spPr>
            <a:ln w="50800">
              <a:solidFill>
                <a:srgbClr val="FF0000"/>
              </a:solidFill>
              <a:prstDash val="solid"/>
            </a:ln>
          </c:spPr>
          <c:marker>
            <c:symbol val="none"/>
          </c:marker>
          <c:cat>
            <c:numLit>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Lit>
          </c:cat>
          <c:val>
            <c:numLit>
              <c:formatCode>#,##0</c:formatCode>
              <c:ptCount val="27"/>
              <c:pt idx="0">
                <c:v>1363779.1227693208</c:v>
              </c:pt>
              <c:pt idx="1">
                <c:v>1346225.1313807946</c:v>
              </c:pt>
              <c:pt idx="2">
                <c:v>1438900.3083713299</c:v>
              </c:pt>
              <c:pt idx="3">
                <c:v>1492999.7653722097</c:v>
              </c:pt>
              <c:pt idx="4">
                <c:v>1622844.6374384409</c:v>
              </c:pt>
              <c:pt idx="5">
                <c:v>1660204.7296573136</c:v>
              </c:pt>
              <c:pt idx="6">
                <c:v>1936902.4423304056</c:v>
              </c:pt>
              <c:pt idx="7">
                <c:v>2167088.7604230368</c:v>
              </c:pt>
              <c:pt idx="8">
                <c:v>2362437.1184945693</c:v>
              </c:pt>
              <c:pt idx="9">
                <c:v>2662140.7549726102</c:v>
              </c:pt>
              <c:pt idx="10">
                <c:v>2997626.6739726341</c:v>
              </c:pt>
              <c:pt idx="11">
                <c:v>3375951.3941680011</c:v>
              </c:pt>
              <c:pt idx="12">
                <c:v>3503679.1380819017</c:v>
              </c:pt>
              <c:pt idx="13">
                <c:v>3679206.688365025</c:v>
              </c:pt>
              <c:pt idx="14">
                <c:v>3576795.2159294817</c:v>
              </c:pt>
              <c:pt idx="15">
                <c:v>3475383.4938245565</c:v>
              </c:pt>
              <c:pt idx="16">
                <c:v>3603806.0605395222</c:v>
              </c:pt>
              <c:pt idx="17">
                <c:v>3437031.2509434023</c:v>
              </c:pt>
              <c:pt idx="18">
                <c:v>3485424.8260479341</c:v>
              </c:pt>
              <c:pt idx="19">
                <c:v>3477742.2083754111</c:v>
              </c:pt>
              <c:pt idx="20">
                <c:v>3527575.0727703767</c:v>
              </c:pt>
              <c:pt idx="21">
                <c:v>3853553.9474512688</c:v>
              </c:pt>
              <c:pt idx="22">
                <c:v>4142962.3798796479</c:v>
              </c:pt>
              <c:pt idx="23">
                <c:v>4456631.2750467835</c:v>
              </c:pt>
              <c:pt idx="24">
                <c:v>4247214.6922068773</c:v>
              </c:pt>
              <c:pt idx="25">
                <c:v>4850418.6523991004</c:v>
              </c:pt>
              <c:pt idx="26">
                <c:v>5408493.3294908199</c:v>
              </c:pt>
            </c:numLit>
          </c:val>
          <c:smooth val="1"/>
          <c:extLst>
            <c:ext xmlns:c16="http://schemas.microsoft.com/office/drawing/2014/chart" uri="{C3380CC4-5D6E-409C-BE32-E72D297353CC}">
              <c16:uniqueId val="{00000001-910F-404F-807A-AC6D26C4BE34}"/>
            </c:ext>
          </c:extLst>
        </c:ser>
        <c:ser>
          <c:idx val="2"/>
          <c:order val="2"/>
          <c:tx>
            <c:v>Antofagasta</c:v>
          </c:tx>
          <c:spPr>
            <a:ln w="50800">
              <a:solidFill>
                <a:srgbClr val="FFC000"/>
              </a:solidFill>
              <a:prstDash val="solid"/>
            </a:ln>
          </c:spPr>
          <c:marker>
            <c:symbol val="none"/>
          </c:marker>
          <c:cat>
            <c:numLit>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Lit>
          </c:cat>
          <c:val>
            <c:numLit>
              <c:formatCode>#,##0</c:formatCode>
              <c:ptCount val="27"/>
              <c:pt idx="0">
                <c:v>3040334.1667023962</c:v>
              </c:pt>
              <c:pt idx="1">
                <c:v>3042240.5710092555</c:v>
              </c:pt>
              <c:pt idx="2">
                <c:v>2985553.2940629432</c:v>
              </c:pt>
              <c:pt idx="3">
                <c:v>3175481.0063214507</c:v>
              </c:pt>
              <c:pt idx="4">
                <c:v>3662684.3732669787</c:v>
              </c:pt>
              <c:pt idx="5">
                <c:v>3639065.7789528677</c:v>
              </c:pt>
              <c:pt idx="6">
                <c:v>4014896.5255011367</c:v>
              </c:pt>
              <c:pt idx="7">
                <c:v>3981062.8294320446</c:v>
              </c:pt>
              <c:pt idx="8">
                <c:v>4032681.0935498257</c:v>
              </c:pt>
              <c:pt idx="9">
                <c:v>4314837.0152460597</c:v>
              </c:pt>
              <c:pt idx="10">
                <c:v>4462606.0619890159</c:v>
              </c:pt>
              <c:pt idx="11">
                <c:v>5373130.3431902193</c:v>
              </c:pt>
              <c:pt idx="12">
                <c:v>5918823.5616319897</c:v>
              </c:pt>
              <c:pt idx="13">
                <c:v>6529126.6940311082</c:v>
              </c:pt>
              <c:pt idx="14">
                <c:v>6293105.4988157144</c:v>
              </c:pt>
              <c:pt idx="15">
                <c:v>6067686.8895115992</c:v>
              </c:pt>
              <c:pt idx="16">
                <c:v>6870317.900162206</c:v>
              </c:pt>
              <c:pt idx="17">
                <c:v>6537761.1903146598</c:v>
              </c:pt>
              <c:pt idx="18">
                <c:v>6853915.3139955448</c:v>
              </c:pt>
              <c:pt idx="19">
                <c:v>7044172.8038588883</c:v>
              </c:pt>
              <c:pt idx="20">
                <c:v>7076241.9768875204</c:v>
              </c:pt>
              <c:pt idx="21">
                <c:v>7108266.229204135</c:v>
              </c:pt>
              <c:pt idx="22">
                <c:v>7230055.4748419225</c:v>
              </c:pt>
              <c:pt idx="23">
                <c:v>7192331.5898429975</c:v>
              </c:pt>
              <c:pt idx="24">
                <c:v>6880993.680862437</c:v>
              </c:pt>
              <c:pt idx="25">
                <c:v>7083307.2585299434</c:v>
              </c:pt>
              <c:pt idx="26">
                <c:v>6650260.2398230145</c:v>
              </c:pt>
            </c:numLit>
          </c:val>
          <c:smooth val="1"/>
          <c:extLst>
            <c:ext xmlns:c16="http://schemas.microsoft.com/office/drawing/2014/chart" uri="{C3380CC4-5D6E-409C-BE32-E72D297353CC}">
              <c16:uniqueId val="{00000002-910F-404F-807A-AC6D26C4BE34}"/>
            </c:ext>
          </c:extLst>
        </c:ser>
        <c:ser>
          <c:idx val="5"/>
          <c:order val="3"/>
          <c:tx>
            <c:v>Coquimbo</c:v>
          </c:tx>
          <c:spPr>
            <a:ln w="50800">
              <a:solidFill>
                <a:srgbClr val="00FF00"/>
              </a:solidFill>
              <a:prstDash val="solid"/>
            </a:ln>
          </c:spPr>
          <c:marker>
            <c:symbol val="none"/>
          </c:marker>
          <c:cat>
            <c:numLit>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Lit>
          </c:cat>
          <c:val>
            <c:numLit>
              <c:formatCode>#,##0</c:formatCode>
              <c:ptCount val="27"/>
              <c:pt idx="0">
                <c:v>898118.54554232792</c:v>
              </c:pt>
              <c:pt idx="1">
                <c:v>937080.70677308633</c:v>
              </c:pt>
              <c:pt idx="2">
                <c:v>934045.42736561911</c:v>
              </c:pt>
              <c:pt idx="3">
                <c:v>1103444.86163718</c:v>
              </c:pt>
              <c:pt idx="4">
                <c:v>1154877.1463734349</c:v>
              </c:pt>
              <c:pt idx="5">
                <c:v>1166699.5956882779</c:v>
              </c:pt>
              <c:pt idx="6">
                <c:v>1216277.4302666306</c:v>
              </c:pt>
              <c:pt idx="7">
                <c:v>1337715.4480735946</c:v>
              </c:pt>
              <c:pt idx="8">
                <c:v>1288123.5409687981</c:v>
              </c:pt>
              <c:pt idx="9">
                <c:v>1379996.3610959782</c:v>
              </c:pt>
              <c:pt idx="10">
                <c:v>1451460.5139043357</c:v>
              </c:pt>
              <c:pt idx="11">
                <c:v>1484469.4638366371</c:v>
              </c:pt>
              <c:pt idx="12">
                <c:v>1499888.1414380851</c:v>
              </c:pt>
              <c:pt idx="13">
                <c:v>1593063.0815895086</c:v>
              </c:pt>
              <c:pt idx="14">
                <c:v>1655250.7459721316</c:v>
              </c:pt>
              <c:pt idx="15">
                <c:v>1844675.6235518234</c:v>
              </c:pt>
              <c:pt idx="16">
                <c:v>1805351.4053450406</c:v>
              </c:pt>
              <c:pt idx="17">
                <c:v>1748374.1378312211</c:v>
              </c:pt>
              <c:pt idx="18">
                <c:v>1810047.3411425331</c:v>
              </c:pt>
              <c:pt idx="19">
                <c:v>1866105.4536260534</c:v>
              </c:pt>
              <c:pt idx="20">
                <c:v>1907523.7765372859</c:v>
              </c:pt>
              <c:pt idx="21">
                <c:v>1951701.7043349138</c:v>
              </c:pt>
              <c:pt idx="22">
                <c:v>2049986.9623382401</c:v>
              </c:pt>
              <c:pt idx="23">
                <c:v>2204872.3447957374</c:v>
              </c:pt>
              <c:pt idx="24">
                <c:v>2050787.0897794815</c:v>
              </c:pt>
              <c:pt idx="25">
                <c:v>2204451.8217879916</c:v>
              </c:pt>
              <c:pt idx="26">
                <c:v>2393588.4786195667</c:v>
              </c:pt>
            </c:numLit>
          </c:val>
          <c:smooth val="1"/>
          <c:extLst>
            <c:ext xmlns:c16="http://schemas.microsoft.com/office/drawing/2014/chart" uri="{C3380CC4-5D6E-409C-BE32-E72D297353CC}">
              <c16:uniqueId val="{00000003-910F-404F-807A-AC6D26C4BE34}"/>
            </c:ext>
          </c:extLst>
        </c:ser>
        <c:ser>
          <c:idx val="10"/>
          <c:order val="4"/>
          <c:tx>
            <c:v>Santiago</c:v>
          </c:tx>
          <c:spPr>
            <a:ln w="50800">
              <a:solidFill>
                <a:srgbClr val="00FFFF"/>
              </a:solidFill>
              <a:prstDash val="solid"/>
            </a:ln>
          </c:spPr>
          <c:marker>
            <c:symbol val="none"/>
          </c:marker>
          <c:cat>
            <c:numLit>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Lit>
          </c:cat>
          <c:val>
            <c:numLit>
              <c:formatCode>#,##0</c:formatCode>
              <c:ptCount val="27"/>
              <c:pt idx="0">
                <c:v>1611982.2136598614</c:v>
              </c:pt>
              <c:pt idx="1">
                <c:v>1700602.3926314681</c:v>
              </c:pt>
              <c:pt idx="2">
                <c:v>1802065.9310309081</c:v>
              </c:pt>
              <c:pt idx="3">
                <c:v>1886760.1545196387</c:v>
              </c:pt>
              <c:pt idx="4">
                <c:v>2062104.7624196685</c:v>
              </c:pt>
              <c:pt idx="5">
                <c:v>2074566.2885835504</c:v>
              </c:pt>
              <c:pt idx="6">
                <c:v>2230953.4946757145</c:v>
              </c:pt>
              <c:pt idx="7">
                <c:v>2498846.5475550662</c:v>
              </c:pt>
              <c:pt idx="8">
                <c:v>2653234.0679269102</c:v>
              </c:pt>
              <c:pt idx="9">
                <c:v>2682646.1652921895</c:v>
              </c:pt>
              <c:pt idx="10">
                <c:v>2919796.1772913761</c:v>
              </c:pt>
              <c:pt idx="11">
                <c:v>3066996.1050700583</c:v>
              </c:pt>
              <c:pt idx="12">
                <c:v>3263412.1323294309</c:v>
              </c:pt>
              <c:pt idx="13">
                <c:v>3260828.8191012423</c:v>
              </c:pt>
              <c:pt idx="14">
                <c:v>3147376.5050946302</c:v>
              </c:pt>
              <c:pt idx="15">
                <c:v>3248192.0875072177</c:v>
              </c:pt>
              <c:pt idx="16">
                <c:v>3292347.9068437484</c:v>
              </c:pt>
              <c:pt idx="17">
                <c:v>3324264.1797465398</c:v>
              </c:pt>
              <c:pt idx="18">
                <c:v>3405983.4535571747</c:v>
              </c:pt>
              <c:pt idx="19">
                <c:v>3574594.4379173368</c:v>
              </c:pt>
              <c:pt idx="20">
                <c:v>3740580.0612213435</c:v>
              </c:pt>
              <c:pt idx="21">
                <c:v>3861890.1969969971</c:v>
              </c:pt>
              <c:pt idx="22">
                <c:v>4034014.5101410463</c:v>
              </c:pt>
              <c:pt idx="23">
                <c:v>4112080.9676351156</c:v>
              </c:pt>
              <c:pt idx="24">
                <c:v>4057539.7343656207</c:v>
              </c:pt>
              <c:pt idx="25">
                <c:v>4259844.647314189</c:v>
              </c:pt>
              <c:pt idx="26">
                <c:v>4536953.6502426136</c:v>
              </c:pt>
            </c:numLit>
          </c:val>
          <c:smooth val="1"/>
          <c:extLst>
            <c:ext xmlns:c16="http://schemas.microsoft.com/office/drawing/2014/chart" uri="{C3380CC4-5D6E-409C-BE32-E72D297353CC}">
              <c16:uniqueId val="{00000004-910F-404F-807A-AC6D26C4BE34}"/>
            </c:ext>
          </c:extLst>
        </c:ser>
        <c:dLbls>
          <c:showLegendKey val="0"/>
          <c:showVal val="0"/>
          <c:showCatName val="0"/>
          <c:showSerName val="0"/>
          <c:showPercent val="0"/>
          <c:showBubbleSize val="0"/>
        </c:dLbls>
        <c:smooth val="0"/>
        <c:axId val="274076800"/>
        <c:axId val="274078336"/>
      </c:lineChart>
      <c:catAx>
        <c:axId val="274076800"/>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lang="es-AR" sz="600" b="0" i="0" u="none" strike="noStrike" baseline="0">
                <a:solidFill>
                  <a:srgbClr val="000000"/>
                </a:solidFill>
                <a:latin typeface="Arial"/>
                <a:ea typeface="Arial"/>
                <a:cs typeface="Arial"/>
              </a:defRPr>
            </a:pPr>
            <a:endParaRPr lang="es-CL"/>
          </a:p>
        </c:txPr>
        <c:crossAx val="274078336"/>
        <c:crosses val="autoZero"/>
        <c:auto val="1"/>
        <c:lblAlgn val="ctr"/>
        <c:lblOffset val="100"/>
        <c:tickLblSkip val="1"/>
        <c:tickMarkSkip val="1"/>
        <c:noMultiLvlLbl val="0"/>
      </c:catAx>
      <c:valAx>
        <c:axId val="274078336"/>
        <c:scaling>
          <c:orientation val="minMax"/>
        </c:scaling>
        <c:delete val="0"/>
        <c:axPos val="l"/>
        <c:title>
          <c:tx>
            <c:rich>
              <a:bodyPr/>
              <a:lstStyle/>
              <a:p>
                <a:pPr>
                  <a:defRPr lang="es-AR" sz="700" b="1" i="0" u="none" strike="noStrike" baseline="0">
                    <a:solidFill>
                      <a:srgbClr val="000000"/>
                    </a:solidFill>
                    <a:latin typeface="Arial"/>
                    <a:ea typeface="Arial"/>
                    <a:cs typeface="Arial"/>
                  </a:defRPr>
                </a:pPr>
                <a:r>
                  <a:rPr lang="es-CL" sz="700"/>
                  <a:t>PIB per capita (en millones pesos)</a:t>
                </a:r>
              </a:p>
            </c:rich>
          </c:tx>
          <c:layout>
            <c:manualLayout>
              <c:xMode val="edge"/>
              <c:yMode val="edge"/>
              <c:x val="5.5025926253687949E-4"/>
              <c:y val="0.17156355455568054"/>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lang="es-AR" sz="600" b="0" i="0" u="none" strike="noStrike" baseline="0">
                <a:solidFill>
                  <a:srgbClr val="000000"/>
                </a:solidFill>
                <a:latin typeface="Arial"/>
                <a:ea typeface="Arial"/>
                <a:cs typeface="Arial"/>
              </a:defRPr>
            </a:pPr>
            <a:endParaRPr lang="es-CL"/>
          </a:p>
        </c:txPr>
        <c:crossAx val="274076800"/>
        <c:crosses val="autoZero"/>
        <c:crossBetween val="between"/>
        <c:dispUnits>
          <c:builtInUnit val="millions"/>
        </c:dispUnits>
      </c:valAx>
      <c:spPr>
        <a:noFill/>
        <a:ln w="12700">
          <a:noFill/>
          <a:prstDash val="solid"/>
        </a:ln>
      </c:spPr>
    </c:plotArea>
    <c:legend>
      <c:legendPos val="b"/>
      <c:layout>
        <c:manualLayout>
          <c:xMode val="edge"/>
          <c:yMode val="edge"/>
          <c:x val="0.12719751809720786"/>
          <c:y val="0.91864406779661012"/>
          <c:w val="0.79110651499482931"/>
          <c:h val="7.6271186440677846E-2"/>
        </c:manualLayout>
      </c:layout>
      <c:overlay val="0"/>
      <c:spPr>
        <a:solidFill>
          <a:srgbClr val="FFFFFF"/>
        </a:solidFill>
        <a:ln w="3175">
          <a:noFill/>
          <a:prstDash val="solid"/>
        </a:ln>
      </c:spPr>
      <c:txPr>
        <a:bodyPr/>
        <a:lstStyle/>
        <a:p>
          <a:pPr>
            <a:defRPr lang="es-AR" sz="700" b="0" i="0" u="none" strike="noStrike" baseline="0">
              <a:solidFill>
                <a:srgbClr val="000000"/>
              </a:solidFill>
              <a:latin typeface="Arial"/>
              <a:ea typeface="Arial"/>
              <a:cs typeface="Arial"/>
            </a:defRPr>
          </a:pPr>
          <a:endParaRPr lang="es-CL"/>
        </a:p>
      </c:txPr>
    </c:legend>
    <c:plotVisOnly val="1"/>
    <c:dispBlanksAs val="gap"/>
    <c:showDLblsOverMax val="0"/>
  </c:chart>
  <c:spPr>
    <a:noFill/>
    <a:ln w="9525">
      <a:noFill/>
    </a:ln>
  </c:spPr>
  <c:txPr>
    <a:bodyPr/>
    <a:lstStyle/>
    <a:p>
      <a:pPr>
        <a:defRPr sz="950" b="0" i="0" u="none" strike="noStrike" baseline="0">
          <a:solidFill>
            <a:srgbClr val="000000"/>
          </a:solidFill>
          <a:latin typeface="Arial"/>
          <a:ea typeface="Arial"/>
          <a:cs typeface="Arial"/>
        </a:defRPr>
      </a:pPr>
      <a:endParaRPr lang="es-C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AR" sz="950" b="0" i="0" u="none" strike="noStrike" baseline="0">
                <a:solidFill>
                  <a:srgbClr val="000000"/>
                </a:solidFill>
                <a:latin typeface="Arial"/>
                <a:ea typeface="Arial"/>
                <a:cs typeface="Arial"/>
              </a:defRPr>
            </a:pPr>
            <a:r>
              <a:rPr lang="es-CL" sz="750" b="1" i="0" u="none" strike="noStrike" baseline="0">
                <a:solidFill>
                  <a:srgbClr val="000000"/>
                </a:solidFill>
                <a:latin typeface="Arial"/>
                <a:cs typeface="Arial"/>
              </a:rPr>
              <a:t>Índice Evolución del Producto Interno Bruto per cápita por Región 1985 - 2011</a:t>
            </a:r>
          </a:p>
          <a:p>
            <a:pPr>
              <a:defRPr lang="es-AR" sz="950" b="0" i="0" u="none" strike="noStrike" baseline="0">
                <a:solidFill>
                  <a:srgbClr val="000000"/>
                </a:solidFill>
                <a:latin typeface="Arial"/>
                <a:ea typeface="Arial"/>
                <a:cs typeface="Arial"/>
              </a:defRPr>
            </a:pPr>
            <a:r>
              <a:rPr lang="es-CL" sz="750" b="0" i="0" u="none" strike="noStrike" baseline="0">
                <a:solidFill>
                  <a:srgbClr val="000000"/>
                </a:solidFill>
                <a:latin typeface="Arial"/>
                <a:cs typeface="Arial"/>
              </a:rPr>
              <a:t>(Año base 1985 = 100)</a:t>
            </a:r>
          </a:p>
        </c:rich>
      </c:tx>
      <c:layout>
        <c:manualLayout>
          <c:xMode val="edge"/>
          <c:yMode val="edge"/>
          <c:x val="0.17475835085035216"/>
          <c:y val="1.1027398553598067E-4"/>
        </c:manualLayout>
      </c:layout>
      <c:overlay val="0"/>
      <c:spPr>
        <a:noFill/>
        <a:ln w="25400">
          <a:noFill/>
        </a:ln>
      </c:spPr>
    </c:title>
    <c:autoTitleDeleted val="0"/>
    <c:plotArea>
      <c:layout>
        <c:manualLayout>
          <c:layoutTarget val="inner"/>
          <c:xMode val="edge"/>
          <c:yMode val="edge"/>
          <c:x val="8.1911406876290421E-2"/>
          <c:y val="0.13050847457628192"/>
          <c:w val="0.90311344318948095"/>
          <c:h val="0.65762711864414369"/>
        </c:manualLayout>
      </c:layout>
      <c:lineChart>
        <c:grouping val="standard"/>
        <c:varyColors val="0"/>
        <c:ser>
          <c:idx val="0"/>
          <c:order val="0"/>
          <c:tx>
            <c:v>Tarapacá</c:v>
          </c:tx>
          <c:spPr>
            <a:ln w="50800">
              <a:solidFill>
                <a:srgbClr val="000080"/>
              </a:solidFill>
              <a:prstDash val="solid"/>
            </a:ln>
          </c:spPr>
          <c:marker>
            <c:symbol val="none"/>
          </c:marker>
          <c:cat>
            <c:numLit>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Lit>
          </c:cat>
          <c:val>
            <c:numLit>
              <c:formatCode>0.0</c:formatCode>
              <c:ptCount val="27"/>
              <c:pt idx="0">
                <c:v>111.49894960682606</c:v>
              </c:pt>
              <c:pt idx="1">
                <c:v>114.55505718595838</c:v>
              </c:pt>
              <c:pt idx="2">
                <c:v>114.31572268605028</c:v>
              </c:pt>
              <c:pt idx="3">
                <c:v>114.66955754738558</c:v>
              </c:pt>
              <c:pt idx="4">
                <c:v>123.2935512084766</c:v>
              </c:pt>
              <c:pt idx="5">
                <c:v>119.49311947722047</c:v>
              </c:pt>
              <c:pt idx="6">
                <c:v>123.21896046678857</c:v>
              </c:pt>
              <c:pt idx="7">
                <c:v>136.4337284661068</c:v>
              </c:pt>
              <c:pt idx="8">
                <c:v>132.67995051074135</c:v>
              </c:pt>
              <c:pt idx="9">
                <c:v>150.6610819069177</c:v>
              </c:pt>
              <c:pt idx="10">
                <c:v>166.51579398629892</c:v>
              </c:pt>
              <c:pt idx="11">
                <c:v>173.87792090420754</c:v>
              </c:pt>
              <c:pt idx="12">
                <c:v>191.0995499208409</c:v>
              </c:pt>
              <c:pt idx="13">
                <c:v>187.94899092903103</c:v>
              </c:pt>
              <c:pt idx="14">
                <c:v>196.06510188587251</c:v>
              </c:pt>
              <c:pt idx="15">
                <c:v>193.04798921169441</c:v>
              </c:pt>
              <c:pt idx="16">
                <c:v>188.80423594401557</c:v>
              </c:pt>
              <c:pt idx="17">
                <c:v>190.828854031145</c:v>
              </c:pt>
              <c:pt idx="18">
                <c:v>210.50969200102742</c:v>
              </c:pt>
              <c:pt idx="19">
                <c:v>216.06122054107203</c:v>
              </c:pt>
              <c:pt idx="20">
                <c:v>210.45322713605202</c:v>
              </c:pt>
              <c:pt idx="21">
                <c:v>221.51925239457807</c:v>
              </c:pt>
              <c:pt idx="22">
                <c:v>238.40254861540785</c:v>
              </c:pt>
              <c:pt idx="23">
                <c:v>234.04525697542971</c:v>
              </c:pt>
              <c:pt idx="24">
                <c:v>230.16000326483811</c:v>
              </c:pt>
              <c:pt idx="25">
                <c:v>230.49835426003901</c:v>
              </c:pt>
              <c:pt idx="26">
                <c:v>216.56618346360324</c:v>
              </c:pt>
            </c:numLit>
          </c:val>
          <c:smooth val="1"/>
          <c:extLst>
            <c:ext xmlns:c16="http://schemas.microsoft.com/office/drawing/2014/chart" uri="{C3380CC4-5D6E-409C-BE32-E72D297353CC}">
              <c16:uniqueId val="{00000000-8F2E-4776-B5C9-3DAB1A2ADEE1}"/>
            </c:ext>
          </c:extLst>
        </c:ser>
        <c:ser>
          <c:idx val="2"/>
          <c:order val="1"/>
          <c:tx>
            <c:v>Atacama</c:v>
          </c:tx>
          <c:spPr>
            <a:ln w="50800">
              <a:solidFill>
                <a:srgbClr val="FF0000"/>
              </a:solidFill>
              <a:prstDash val="solid"/>
            </a:ln>
          </c:spPr>
          <c:marker>
            <c:symbol val="none"/>
          </c:marker>
          <c:cat>
            <c:numLit>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Lit>
          </c:cat>
          <c:val>
            <c:numLit>
              <c:formatCode>0.0</c:formatCode>
              <c:ptCount val="27"/>
              <c:pt idx="0">
                <c:v>128.80431996264363</c:v>
              </c:pt>
              <c:pt idx="1">
                <c:v>127.14640491930572</c:v>
              </c:pt>
              <c:pt idx="2">
                <c:v>135.89926155890873</c:v>
              </c:pt>
              <c:pt idx="3">
                <c:v>141.00877207494938</c:v>
              </c:pt>
              <c:pt idx="4">
                <c:v>153.27218054623168</c:v>
              </c:pt>
              <c:pt idx="5">
                <c:v>156.80071474333991</c:v>
              </c:pt>
              <c:pt idx="6">
                <c:v>182.93387672026256</c:v>
              </c:pt>
              <c:pt idx="7">
                <c:v>204.67419498119938</c:v>
              </c:pt>
              <c:pt idx="8">
                <c:v>223.1241858903787</c:v>
              </c:pt>
              <c:pt idx="9">
                <c:v>251.43017946542167</c:v>
              </c:pt>
              <c:pt idx="10">
                <c:v>283.11568845465831</c:v>
              </c:pt>
              <c:pt idx="11">
                <c:v>318.84717715120729</c:v>
              </c:pt>
              <c:pt idx="12">
                <c:v>330.91063003776031</c:v>
              </c:pt>
              <c:pt idx="13">
                <c:v>347.48861277078225</c:v>
              </c:pt>
              <c:pt idx="14">
                <c:v>337.81619599654186</c:v>
              </c:pt>
              <c:pt idx="15">
                <c:v>328.23820225556051</c:v>
              </c:pt>
              <c:pt idx="16">
                <c:v>340.3672788027871</c:v>
              </c:pt>
              <c:pt idx="17">
                <c:v>324.61596278813334</c:v>
              </c:pt>
              <c:pt idx="18">
                <c:v>329.18657208096568</c:v>
              </c:pt>
              <c:pt idx="19">
                <c:v>328.46097485754365</c:v>
              </c:pt>
              <c:pt idx="20">
                <c:v>333.16752014997348</c:v>
              </c:pt>
              <c:pt idx="21">
                <c:v>363.95512099709543</c:v>
              </c:pt>
              <c:pt idx="22">
                <c:v>391.28876741243016</c:v>
              </c:pt>
              <c:pt idx="23">
                <c:v>420.91373237992025</c:v>
              </c:pt>
              <c:pt idx="24">
                <c:v>401.13504528078101</c:v>
              </c:pt>
              <c:pt idx="25">
                <c:v>458.10561668354774</c:v>
              </c:pt>
              <c:pt idx="26">
                <c:v>510.81388011934951</c:v>
              </c:pt>
            </c:numLit>
          </c:val>
          <c:smooth val="1"/>
          <c:extLst>
            <c:ext xmlns:c16="http://schemas.microsoft.com/office/drawing/2014/chart" uri="{C3380CC4-5D6E-409C-BE32-E72D297353CC}">
              <c16:uniqueId val="{00000001-8F2E-4776-B5C9-3DAB1A2ADEE1}"/>
            </c:ext>
          </c:extLst>
        </c:ser>
        <c:ser>
          <c:idx val="1"/>
          <c:order val="2"/>
          <c:tx>
            <c:v>Antofagasta</c:v>
          </c:tx>
          <c:spPr>
            <a:ln w="50800">
              <a:solidFill>
                <a:srgbClr val="FFC000"/>
              </a:solidFill>
              <a:prstDash val="solid"/>
            </a:ln>
          </c:spPr>
          <c:marker>
            <c:symbol val="none"/>
          </c:marker>
          <c:cat>
            <c:numLit>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Lit>
          </c:cat>
          <c:val>
            <c:numLit>
              <c:formatCode>0.0</c:formatCode>
              <c:ptCount val="27"/>
              <c:pt idx="0">
                <c:v>130.87840812725037</c:v>
              </c:pt>
              <c:pt idx="1">
                <c:v>130.96047383031066</c:v>
              </c:pt>
              <c:pt idx="2">
                <c:v>128.52023530355387</c:v>
              </c:pt>
              <c:pt idx="3">
                <c:v>136.69612495143602</c:v>
              </c:pt>
              <c:pt idx="4">
                <c:v>157.66895149083786</c:v>
              </c:pt>
              <c:pt idx="5">
                <c:v>156.65223298012694</c:v>
              </c:pt>
              <c:pt idx="6">
                <c:v>172.83076044997526</c:v>
              </c:pt>
              <c:pt idx="7">
                <c:v>171.3743086128448</c:v>
              </c:pt>
              <c:pt idx="8">
                <c:v>173.59633943827717</c:v>
              </c:pt>
              <c:pt idx="9">
                <c:v>185.74241149828771</c:v>
              </c:pt>
              <c:pt idx="10">
                <c:v>192.10348121884908</c:v>
              </c:pt>
              <c:pt idx="11">
                <c:v>231.2991623350714</c:v>
              </c:pt>
              <c:pt idx="12">
                <c:v>254.78982350570112</c:v>
              </c:pt>
              <c:pt idx="13">
                <c:v>281.06177193764154</c:v>
              </c:pt>
              <c:pt idx="14">
                <c:v>270.90167879643695</c:v>
              </c:pt>
              <c:pt idx="15">
                <c:v>261.19799915783375</c:v>
              </c:pt>
              <c:pt idx="16">
                <c:v>295.74915808568664</c:v>
              </c:pt>
              <c:pt idx="17">
                <c:v>281.43346434597828</c:v>
              </c:pt>
              <c:pt idx="18">
                <c:v>295.04306979112584</c:v>
              </c:pt>
              <c:pt idx="19">
                <c:v>303.23315549956885</c:v>
              </c:pt>
              <c:pt idx="20">
                <c:v>304.61364924986532</c:v>
              </c:pt>
              <c:pt idx="21">
                <c:v>305.99220928137953</c:v>
              </c:pt>
              <c:pt idx="22">
                <c:v>311.23491673461365</c:v>
              </c:pt>
              <c:pt idx="23">
                <c:v>309.61100247179769</c:v>
              </c:pt>
              <c:pt idx="24">
                <c:v>296.20872243189069</c:v>
              </c:pt>
              <c:pt idx="25">
                <c:v>304.91779108547564</c:v>
              </c:pt>
              <c:pt idx="26">
                <c:v>286.2762532330475</c:v>
              </c:pt>
            </c:numLit>
          </c:val>
          <c:smooth val="1"/>
          <c:extLst>
            <c:ext xmlns:c16="http://schemas.microsoft.com/office/drawing/2014/chart" uri="{C3380CC4-5D6E-409C-BE32-E72D297353CC}">
              <c16:uniqueId val="{00000002-8F2E-4776-B5C9-3DAB1A2ADEE1}"/>
            </c:ext>
          </c:extLst>
        </c:ser>
        <c:ser>
          <c:idx val="3"/>
          <c:order val="3"/>
          <c:tx>
            <c:v>Coquimbo</c:v>
          </c:tx>
          <c:spPr>
            <a:ln w="50800">
              <a:solidFill>
                <a:srgbClr val="00FF00"/>
              </a:solidFill>
              <a:prstDash val="solid"/>
            </a:ln>
          </c:spPr>
          <c:marker>
            <c:symbol val="none"/>
          </c:marker>
          <c:cat>
            <c:numLit>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Lit>
          </c:cat>
          <c:val>
            <c:numLit>
              <c:formatCode>0.0</c:formatCode>
              <c:ptCount val="27"/>
              <c:pt idx="0">
                <c:v>143.67617593260417</c:v>
              </c:pt>
              <c:pt idx="1">
                <c:v>149.90913299544337</c:v>
              </c:pt>
              <c:pt idx="2">
                <c:v>149.42356531585742</c:v>
              </c:pt>
              <c:pt idx="3">
                <c:v>176.52317598761761</c:v>
              </c:pt>
              <c:pt idx="4">
                <c:v>184.75103635979127</c:v>
              </c:pt>
              <c:pt idx="5">
                <c:v>186.64232823450479</c:v>
              </c:pt>
              <c:pt idx="6">
                <c:v>194.57352364138205</c:v>
              </c:pt>
              <c:pt idx="7">
                <c:v>214.00052478498338</c:v>
              </c:pt>
              <c:pt idx="8">
                <c:v>206.06707813098984</c:v>
              </c:pt>
              <c:pt idx="9">
                <c:v>220.76439791525803</c:v>
              </c:pt>
              <c:pt idx="10">
                <c:v>232.19684883471649</c:v>
              </c:pt>
              <c:pt idx="11">
                <c:v>237.47744316311878</c:v>
              </c:pt>
              <c:pt idx="12">
                <c:v>239.94404030300544</c:v>
              </c:pt>
              <c:pt idx="13">
                <c:v>254.84966624754247</c:v>
              </c:pt>
              <c:pt idx="14">
                <c:v>264.79811442626232</c:v>
              </c:pt>
              <c:pt idx="15">
                <c:v>295.10128784611192</c:v>
              </c:pt>
              <c:pt idx="16">
                <c:v>288.81041085494837</c:v>
              </c:pt>
              <c:pt idx="17">
                <c:v>279.69549395215626</c:v>
              </c:pt>
              <c:pt idx="18">
                <c:v>289.56164141483077</c:v>
              </c:pt>
              <c:pt idx="19">
                <c:v>298.52951683796715</c:v>
              </c:pt>
              <c:pt idx="20">
                <c:v>305.1553974402139</c:v>
              </c:pt>
              <c:pt idx="21">
                <c:v>312.2227447944075</c:v>
              </c:pt>
              <c:pt idx="22">
                <c:v>327.94589191185196</c:v>
              </c:pt>
              <c:pt idx="23">
                <c:v>352.72362261321967</c:v>
              </c:pt>
              <c:pt idx="24">
                <c:v>328.07389199779425</c:v>
              </c:pt>
              <c:pt idx="25">
                <c:v>352.656349603499</c:v>
              </c:pt>
              <c:pt idx="26">
                <c:v>382.91341501776333</c:v>
              </c:pt>
            </c:numLit>
          </c:val>
          <c:smooth val="1"/>
          <c:extLst>
            <c:ext xmlns:c16="http://schemas.microsoft.com/office/drawing/2014/chart" uri="{C3380CC4-5D6E-409C-BE32-E72D297353CC}">
              <c16:uniqueId val="{00000003-8F2E-4776-B5C9-3DAB1A2ADEE1}"/>
            </c:ext>
          </c:extLst>
        </c:ser>
        <c:ser>
          <c:idx val="12"/>
          <c:order val="4"/>
          <c:tx>
            <c:v>Santiago</c:v>
          </c:tx>
          <c:spPr>
            <a:ln w="50800">
              <a:solidFill>
                <a:srgbClr val="00FFFF"/>
              </a:solidFill>
              <a:prstDash val="solid"/>
            </a:ln>
          </c:spPr>
          <c:marker>
            <c:symbol val="none"/>
          </c:marker>
          <c:cat>
            <c:numLit>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Lit>
          </c:cat>
          <c:val>
            <c:numLit>
              <c:formatCode>0.0</c:formatCode>
              <c:ptCount val="27"/>
              <c:pt idx="0">
                <c:v>80.346092249242901</c:v>
              </c:pt>
              <c:pt idx="1">
                <c:v>84.763191280770727</c:v>
              </c:pt>
              <c:pt idx="2">
                <c:v>89.820442376405879</c:v>
              </c:pt>
              <c:pt idx="3">
                <c:v>94.041859855916357</c:v>
              </c:pt>
              <c:pt idx="4">
                <c:v>102.78156797574543</c:v>
              </c:pt>
              <c:pt idx="5">
                <c:v>103.40268830960838</c:v>
              </c:pt>
              <c:pt idx="6">
                <c:v>111.19750191288907</c:v>
              </c:pt>
              <c:pt idx="7">
                <c:v>124.55010577984302</c:v>
              </c:pt>
              <c:pt idx="8">
                <c:v>132.24524896989402</c:v>
              </c:pt>
              <c:pt idx="9">
                <c:v>133.71123728423709</c:v>
              </c:pt>
              <c:pt idx="10">
                <c:v>145.53151456740596</c:v>
              </c:pt>
              <c:pt idx="11">
                <c:v>152.86840629993702</c:v>
              </c:pt>
              <c:pt idx="12">
                <c:v>162.65837799545687</c:v>
              </c:pt>
              <c:pt idx="13">
                <c:v>162.52961781362518</c:v>
              </c:pt>
              <c:pt idx="14">
                <c:v>156.8748097085344</c:v>
              </c:pt>
              <c:pt idx="15">
                <c:v>161.8997647086843</c:v>
              </c:pt>
              <c:pt idx="16">
                <c:v>164.10062493139034</c:v>
              </c:pt>
              <c:pt idx="17">
                <c:v>165.69142896456736</c:v>
              </c:pt>
              <c:pt idx="18">
                <c:v>169.76456591142176</c:v>
              </c:pt>
              <c:pt idx="19">
                <c:v>178.16864977093286</c:v>
              </c:pt>
              <c:pt idx="20">
                <c:v>186.44187765708486</c:v>
              </c:pt>
              <c:pt idx="21">
                <c:v>192.48834347860884</c:v>
              </c:pt>
              <c:pt idx="22">
                <c:v>201.06754232151079</c:v>
              </c:pt>
              <c:pt idx="23">
                <c:v>204.95861180245089</c:v>
              </c:pt>
              <c:pt idx="24">
                <c:v>202.2401109886552</c:v>
              </c:pt>
              <c:pt idx="25">
                <c:v>212.32360264290637</c:v>
              </c:pt>
              <c:pt idx="26">
                <c:v>226.13555746704415</c:v>
              </c:pt>
            </c:numLit>
          </c:val>
          <c:smooth val="1"/>
          <c:extLst>
            <c:ext xmlns:c16="http://schemas.microsoft.com/office/drawing/2014/chart" uri="{C3380CC4-5D6E-409C-BE32-E72D297353CC}">
              <c16:uniqueId val="{00000004-8F2E-4776-B5C9-3DAB1A2ADEE1}"/>
            </c:ext>
          </c:extLst>
        </c:ser>
        <c:dLbls>
          <c:showLegendKey val="0"/>
          <c:showVal val="0"/>
          <c:showCatName val="0"/>
          <c:showSerName val="0"/>
          <c:showPercent val="0"/>
          <c:showBubbleSize val="0"/>
        </c:dLbls>
        <c:smooth val="0"/>
        <c:axId val="274123392"/>
        <c:axId val="274125184"/>
      </c:lineChart>
      <c:catAx>
        <c:axId val="274123392"/>
        <c:scaling>
          <c:orientation val="minMax"/>
        </c:scaling>
        <c:delete val="0"/>
        <c:axPos val="b"/>
        <c:numFmt formatCode="General" sourceLinked="1"/>
        <c:majorTickMark val="out"/>
        <c:minorTickMark val="none"/>
        <c:tickLblPos val="nextTo"/>
        <c:spPr>
          <a:ln w="3175">
            <a:solidFill>
              <a:srgbClr val="000000"/>
            </a:solidFill>
            <a:prstDash val="solid"/>
          </a:ln>
        </c:spPr>
        <c:txPr>
          <a:bodyPr rot="-2820000" vert="horz"/>
          <a:lstStyle/>
          <a:p>
            <a:pPr>
              <a:defRPr lang="es-AR" sz="700" b="0" i="0" u="none" strike="noStrike" baseline="0">
                <a:solidFill>
                  <a:srgbClr val="000000"/>
                </a:solidFill>
                <a:latin typeface="Arial"/>
                <a:ea typeface="Arial"/>
                <a:cs typeface="Arial"/>
              </a:defRPr>
            </a:pPr>
            <a:endParaRPr lang="es-CL"/>
          </a:p>
        </c:txPr>
        <c:crossAx val="274125184"/>
        <c:crosses val="autoZero"/>
        <c:auto val="1"/>
        <c:lblAlgn val="ctr"/>
        <c:lblOffset val="100"/>
        <c:tickLblSkip val="1"/>
        <c:tickMarkSkip val="1"/>
        <c:noMultiLvlLbl val="0"/>
      </c:catAx>
      <c:valAx>
        <c:axId val="274125184"/>
        <c:scaling>
          <c:orientation val="minMax"/>
          <c:min val="50"/>
        </c:scaling>
        <c:delete val="0"/>
        <c:axPos val="l"/>
        <c:majorGridlines>
          <c:spPr>
            <a:ln w="3175">
              <a:no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lang="es-AR" sz="700" b="0" i="0" u="none" strike="noStrike" baseline="0">
                <a:solidFill>
                  <a:srgbClr val="000000"/>
                </a:solidFill>
                <a:latin typeface="Arial"/>
                <a:ea typeface="Arial"/>
                <a:cs typeface="Arial"/>
              </a:defRPr>
            </a:pPr>
            <a:endParaRPr lang="es-CL"/>
          </a:p>
        </c:txPr>
        <c:crossAx val="274123392"/>
        <c:crosses val="autoZero"/>
        <c:crossBetween val="between"/>
      </c:valAx>
      <c:spPr>
        <a:noFill/>
        <a:ln w="0">
          <a:noFill/>
          <a:prstDash val="solid"/>
        </a:ln>
      </c:spPr>
    </c:plotArea>
    <c:legend>
      <c:legendPos val="b"/>
      <c:layout>
        <c:manualLayout>
          <c:xMode val="edge"/>
          <c:yMode val="edge"/>
          <c:x val="9.5859702798936894E-2"/>
          <c:y val="0.89966004057774984"/>
          <c:w val="0.88004136504653552"/>
          <c:h val="7.6271186440677846E-2"/>
        </c:manualLayout>
      </c:layout>
      <c:overlay val="0"/>
      <c:spPr>
        <a:solidFill>
          <a:srgbClr val="FFFFFF"/>
        </a:solidFill>
        <a:ln w="3175">
          <a:noFill/>
          <a:prstDash val="solid"/>
        </a:ln>
      </c:spPr>
      <c:txPr>
        <a:bodyPr/>
        <a:lstStyle/>
        <a:p>
          <a:pPr>
            <a:defRPr lang="es-AR" sz="700" b="0" i="0" u="none" strike="noStrike" baseline="0">
              <a:solidFill>
                <a:srgbClr val="000000"/>
              </a:solidFill>
              <a:latin typeface="Arial"/>
              <a:ea typeface="Arial"/>
              <a:cs typeface="Arial"/>
            </a:defRPr>
          </a:pPr>
          <a:endParaRPr lang="es-CL"/>
        </a:p>
      </c:txPr>
    </c:legend>
    <c:plotVisOnly val="1"/>
    <c:dispBlanksAs val="gap"/>
    <c:showDLblsOverMax val="0"/>
  </c:chart>
  <c:spPr>
    <a:noFill/>
    <a:ln w="9525">
      <a:noFill/>
    </a:ln>
  </c:spPr>
  <c:txPr>
    <a:bodyPr/>
    <a:lstStyle/>
    <a:p>
      <a:pPr>
        <a:defRPr sz="950" b="0" i="0" u="none" strike="noStrike" baseline="0">
          <a:solidFill>
            <a:srgbClr val="000000"/>
          </a:solidFill>
          <a:latin typeface="Arial"/>
          <a:ea typeface="Arial"/>
          <a:cs typeface="Arial"/>
        </a:defRPr>
      </a:pPr>
      <a:endParaRPr lang="es-C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0" b="0" i="0" u="none" strike="noStrike" baseline="0">
                <a:solidFill>
                  <a:srgbClr val="000000"/>
                </a:solidFill>
                <a:latin typeface="Arial"/>
                <a:ea typeface="Arial"/>
                <a:cs typeface="Arial"/>
              </a:defRPr>
            </a:pPr>
            <a:r>
              <a:rPr lang="es-CL" sz="750" b="1" i="0" u="none" strike="noStrike" baseline="0">
                <a:solidFill>
                  <a:srgbClr val="000000"/>
                </a:solidFill>
                <a:latin typeface="Arial"/>
                <a:cs typeface="Arial"/>
              </a:rPr>
              <a:t>Índice Evolución del Producto Interno Bruto per cápita por Región 1985 - 2010</a:t>
            </a:r>
          </a:p>
          <a:p>
            <a:pPr>
              <a:defRPr sz="950" b="0" i="0" u="none" strike="noStrike" baseline="0">
                <a:solidFill>
                  <a:srgbClr val="000000"/>
                </a:solidFill>
                <a:latin typeface="Arial"/>
                <a:ea typeface="Arial"/>
                <a:cs typeface="Arial"/>
              </a:defRPr>
            </a:pPr>
            <a:r>
              <a:rPr lang="es-CL" sz="750" b="0" i="0" u="none" strike="noStrike" baseline="0">
                <a:solidFill>
                  <a:srgbClr val="000000"/>
                </a:solidFill>
                <a:latin typeface="Arial"/>
                <a:cs typeface="Arial"/>
              </a:rPr>
              <a:t>(Año base 1985 = 100)</a:t>
            </a:r>
          </a:p>
        </c:rich>
      </c:tx>
      <c:layout>
        <c:manualLayout>
          <c:xMode val="edge"/>
          <c:yMode val="edge"/>
          <c:x val="0.14004112887950862"/>
          <c:y val="1.7976747177767642E-3"/>
        </c:manualLayout>
      </c:layout>
      <c:overlay val="0"/>
      <c:spPr>
        <a:noFill/>
        <a:ln w="25400">
          <a:noFill/>
        </a:ln>
      </c:spPr>
    </c:title>
    <c:autoTitleDeleted val="0"/>
    <c:plotArea>
      <c:layout>
        <c:manualLayout>
          <c:layoutTarget val="inner"/>
          <c:xMode val="edge"/>
          <c:yMode val="edge"/>
          <c:x val="8.7608372322173361E-2"/>
          <c:y val="0.13050847457628173"/>
          <c:w val="0.89721430062280538"/>
          <c:h val="0.65762711864414214"/>
        </c:manualLayout>
      </c:layout>
      <c:lineChart>
        <c:grouping val="standard"/>
        <c:varyColors val="0"/>
        <c:ser>
          <c:idx val="4"/>
          <c:order val="0"/>
          <c:tx>
            <c:strRef>
              <c:f>'\DOCUME~1\rgillet\CONFIG~1\Temp\[Cuadros y Graficos.2.xlsx]Cuadro 101'!$F$80</c:f>
              <c:strCache>
                <c:ptCount val="1"/>
                <c:pt idx="0">
                  <c:v>Valparaíso</c:v>
                </c:pt>
              </c:strCache>
            </c:strRef>
          </c:tx>
          <c:spPr>
            <a:ln w="50800">
              <a:solidFill>
                <a:srgbClr val="969696"/>
              </a:solidFill>
              <a:prstDash val="solid"/>
            </a:ln>
          </c:spPr>
          <c:marker>
            <c:symbol val="none"/>
          </c:marker>
          <c:cat>
            <c:numRef>
              <c:f>'Datos PIB y Población'!$A$97:$A$123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'\DOCUME~1\rgillet\CONFIG~1\Temp\[Cuadros y Graficos.2.xlsx]Cuadro 101'!$F$97:$F$123</c:f>
              <c:numCache>
                <c:formatCode>General</c:formatCode>
                <c:ptCount val="27"/>
                <c:pt idx="0">
                  <c:v>97.478992893470092</c:v>
                </c:pt>
                <c:pt idx="1">
                  <c:v>97.923274178210193</c:v>
                </c:pt>
                <c:pt idx="2">
                  <c:v>99.691847939835981</c:v>
                </c:pt>
                <c:pt idx="3">
                  <c:v>108.3327671149959</c:v>
                </c:pt>
                <c:pt idx="4">
                  <c:v>115.7549710729137</c:v>
                </c:pt>
                <c:pt idx="5">
                  <c:v>117.22096126328054</c:v>
                </c:pt>
                <c:pt idx="6">
                  <c:v>119.92413053320772</c:v>
                </c:pt>
                <c:pt idx="7">
                  <c:v>127.48870900316716</c:v>
                </c:pt>
                <c:pt idx="8">
                  <c:v>135.32197576670521</c:v>
                </c:pt>
                <c:pt idx="9">
                  <c:v>142.68328024453126</c:v>
                </c:pt>
                <c:pt idx="10">
                  <c:v>152.81779424804432</c:v>
                </c:pt>
                <c:pt idx="11">
                  <c:v>154.83396402665795</c:v>
                </c:pt>
                <c:pt idx="12">
                  <c:v>151.72801203171119</c:v>
                </c:pt>
                <c:pt idx="13">
                  <c:v>155.57206939614986</c:v>
                </c:pt>
                <c:pt idx="14">
                  <c:v>158.41132914733734</c:v>
                </c:pt>
                <c:pt idx="15">
                  <c:v>159.63232302757393</c:v>
                </c:pt>
                <c:pt idx="16">
                  <c:v>162.06995201996455</c:v>
                </c:pt>
                <c:pt idx="17">
                  <c:v>163.4462266771155</c:v>
                </c:pt>
                <c:pt idx="18">
                  <c:v>165.30816204083899</c:v>
                </c:pt>
                <c:pt idx="19">
                  <c:v>172.81905527738394</c:v>
                </c:pt>
                <c:pt idx="20">
                  <c:v>178.80834323210294</c:v>
                </c:pt>
                <c:pt idx="21">
                  <c:v>186.84459802330773</c:v>
                </c:pt>
                <c:pt idx="22">
                  <c:v>184.66224428229512</c:v>
                </c:pt>
                <c:pt idx="23">
                  <c:v>191.24366743442101</c:v>
                </c:pt>
                <c:pt idx="24">
                  <c:v>186.62151564212832</c:v>
                </c:pt>
                <c:pt idx="25">
                  <c:v>195.51080721556244</c:v>
                </c:pt>
                <c:pt idx="26">
                  <c:v>207.5643220394349</c:v>
                </c:pt>
              </c:numCache>
            </c:numRef>
          </c:val>
          <c:smooth val="1"/>
          <c:extLst>
            <c:ext xmlns:c16="http://schemas.microsoft.com/office/drawing/2014/chart" uri="{C3380CC4-5D6E-409C-BE32-E72D297353CC}">
              <c16:uniqueId val="{00000000-F36B-4A5B-9D71-E74C9A5FA2E1}"/>
            </c:ext>
          </c:extLst>
        </c:ser>
        <c:ser>
          <c:idx val="7"/>
          <c:order val="1"/>
          <c:tx>
            <c:strRef>
              <c:f>'\DOCUME~1\rgillet\CONFIG~1\Temp\[Cuadros y Graficos.2.xlsx]Cuadro 102'!$I$1</c:f>
              <c:strCache>
                <c:ptCount val="1"/>
                <c:pt idx="0">
                  <c:v>Bío-Bío</c:v>
                </c:pt>
              </c:strCache>
            </c:strRef>
          </c:tx>
          <c:spPr>
            <a:ln w="50800">
              <a:solidFill>
                <a:srgbClr val="CC99FF"/>
              </a:solidFill>
              <a:prstDash val="solid"/>
            </a:ln>
          </c:spPr>
          <c:marker>
            <c:symbol val="none"/>
          </c:marker>
          <c:cat>
            <c:numRef>
              <c:f>'Datos PIB y Población'!$A$97:$A$123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'\DOCUME~1\rgillet\CONFIG~1\Temp\[Cuadros y Graficos.2.xlsx]Cuadro 101'!$I$97:$I$123</c:f>
              <c:numCache>
                <c:formatCode>General</c:formatCode>
                <c:ptCount val="27"/>
                <c:pt idx="0">
                  <c:v>119.5054315158055</c:v>
                </c:pt>
                <c:pt idx="1">
                  <c:v>121.19220247525979</c:v>
                </c:pt>
                <c:pt idx="2">
                  <c:v>124.71944696258257</c:v>
                </c:pt>
                <c:pt idx="3">
                  <c:v>132.36183850733318</c:v>
                </c:pt>
                <c:pt idx="4">
                  <c:v>135.58136174917544</c:v>
                </c:pt>
                <c:pt idx="5">
                  <c:v>138.29337696867603</c:v>
                </c:pt>
                <c:pt idx="6">
                  <c:v>141.23138004278002</c:v>
                </c:pt>
                <c:pt idx="7">
                  <c:v>149.39490570860573</c:v>
                </c:pt>
                <c:pt idx="8">
                  <c:v>152.37925309587575</c:v>
                </c:pt>
                <c:pt idx="9">
                  <c:v>152.99886829948616</c:v>
                </c:pt>
                <c:pt idx="10">
                  <c:v>161.41650366412998</c:v>
                </c:pt>
                <c:pt idx="11">
                  <c:v>165.50436067913569</c:v>
                </c:pt>
                <c:pt idx="12">
                  <c:v>171.09930801532164</c:v>
                </c:pt>
                <c:pt idx="13">
                  <c:v>170.90306317174768</c:v>
                </c:pt>
                <c:pt idx="14">
                  <c:v>169.59725148562148</c:v>
                </c:pt>
                <c:pt idx="15">
                  <c:v>174.07318092763646</c:v>
                </c:pt>
                <c:pt idx="16">
                  <c:v>176.30308942905413</c:v>
                </c:pt>
                <c:pt idx="17">
                  <c:v>185.04544100305122</c:v>
                </c:pt>
                <c:pt idx="18">
                  <c:v>192.65093181454108</c:v>
                </c:pt>
                <c:pt idx="19">
                  <c:v>202.38829347396637</c:v>
                </c:pt>
                <c:pt idx="20">
                  <c:v>214.65934474067421</c:v>
                </c:pt>
                <c:pt idx="21">
                  <c:v>220.20188855197543</c:v>
                </c:pt>
                <c:pt idx="22">
                  <c:v>222.07841821841131</c:v>
                </c:pt>
                <c:pt idx="23">
                  <c:v>220.72288680446607</c:v>
                </c:pt>
                <c:pt idx="24">
                  <c:v>218.89068960959213</c:v>
                </c:pt>
                <c:pt idx="25">
                  <c:v>211.9762468547716</c:v>
                </c:pt>
                <c:pt idx="26">
                  <c:v>240.04689595637151</c:v>
                </c:pt>
              </c:numCache>
            </c:numRef>
          </c:val>
          <c:smooth val="1"/>
          <c:extLst>
            <c:ext xmlns:c16="http://schemas.microsoft.com/office/drawing/2014/chart" uri="{C3380CC4-5D6E-409C-BE32-E72D297353CC}">
              <c16:uniqueId val="{00000001-F36B-4A5B-9D71-E74C9A5FA2E1}"/>
            </c:ext>
          </c:extLst>
        </c:ser>
        <c:ser>
          <c:idx val="1"/>
          <c:order val="2"/>
          <c:tx>
            <c:strRef>
              <c:f>'Cuadro 102'!$C$1</c:f>
              <c:strCache>
                <c:ptCount val="1"/>
                <c:pt idx="0">
                  <c:v>Antofagasta</c:v>
                </c:pt>
              </c:strCache>
            </c:strRef>
          </c:tx>
          <c:spPr>
            <a:ln w="50800">
              <a:solidFill>
                <a:srgbClr val="FFC000"/>
              </a:solidFill>
              <a:prstDash val="solid"/>
            </a:ln>
          </c:spPr>
          <c:marker>
            <c:symbol val="none"/>
          </c:marker>
          <c:cat>
            <c:numRef>
              <c:f>'Datos PIB y Población'!$A$97:$A$123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'Datos PIB y Población'!$C$97:$C$123</c:f>
              <c:numCache>
                <c:formatCode>0.0</c:formatCode>
                <c:ptCount val="27"/>
                <c:pt idx="0">
                  <c:v>130.8784081272502</c:v>
                </c:pt>
                <c:pt idx="1">
                  <c:v>130.96047383031066</c:v>
                </c:pt>
                <c:pt idx="2">
                  <c:v>128.52023530355385</c:v>
                </c:pt>
                <c:pt idx="3">
                  <c:v>136.69612495143585</c:v>
                </c:pt>
                <c:pt idx="4">
                  <c:v>157.66895149083803</c:v>
                </c:pt>
                <c:pt idx="5">
                  <c:v>156.65223298012677</c:v>
                </c:pt>
                <c:pt idx="6">
                  <c:v>172.83076044997526</c:v>
                </c:pt>
                <c:pt idx="7">
                  <c:v>171.3743086128448</c:v>
                </c:pt>
                <c:pt idx="8">
                  <c:v>173.596339438277</c:v>
                </c:pt>
                <c:pt idx="9">
                  <c:v>185.74241149828771</c:v>
                </c:pt>
                <c:pt idx="10">
                  <c:v>192.10348121884925</c:v>
                </c:pt>
                <c:pt idx="11">
                  <c:v>231.29916233507157</c:v>
                </c:pt>
                <c:pt idx="12">
                  <c:v>254.78982350570112</c:v>
                </c:pt>
                <c:pt idx="13">
                  <c:v>281.06177193764154</c:v>
                </c:pt>
                <c:pt idx="14">
                  <c:v>270.90167879643695</c:v>
                </c:pt>
                <c:pt idx="15">
                  <c:v>261.19799915783364</c:v>
                </c:pt>
                <c:pt idx="16">
                  <c:v>295.74915808568687</c:v>
                </c:pt>
                <c:pt idx="17">
                  <c:v>281.43346434597862</c:v>
                </c:pt>
                <c:pt idx="18">
                  <c:v>295.04306979112584</c:v>
                </c:pt>
                <c:pt idx="19">
                  <c:v>303.23315549956925</c:v>
                </c:pt>
                <c:pt idx="20">
                  <c:v>304.61364924986532</c:v>
                </c:pt>
                <c:pt idx="21">
                  <c:v>305.99220928138004</c:v>
                </c:pt>
                <c:pt idx="22">
                  <c:v>311.23491673461365</c:v>
                </c:pt>
                <c:pt idx="23">
                  <c:v>309.61100247179769</c:v>
                </c:pt>
                <c:pt idx="24">
                  <c:v>296.20872243189098</c:v>
                </c:pt>
                <c:pt idx="25">
                  <c:v>304.91779108547576</c:v>
                </c:pt>
                <c:pt idx="26">
                  <c:v>286.2762532330475</c:v>
                </c:pt>
              </c:numCache>
            </c:numRef>
          </c:val>
          <c:smooth val="1"/>
          <c:extLst>
            <c:ext xmlns:c16="http://schemas.microsoft.com/office/drawing/2014/chart" uri="{C3380CC4-5D6E-409C-BE32-E72D297353CC}">
              <c16:uniqueId val="{00000002-F36B-4A5B-9D71-E74C9A5FA2E1}"/>
            </c:ext>
          </c:extLst>
        </c:ser>
        <c:ser>
          <c:idx val="12"/>
          <c:order val="3"/>
          <c:tx>
            <c:strRef>
              <c:f>'\DOCUME~1\rgillet\CONFIG~1\Temp\[Cuadros y Graficos.2.xlsx]Cuadro 102'!$N$1</c:f>
              <c:strCache>
                <c:ptCount val="1"/>
                <c:pt idx="0">
                  <c:v>Santiago</c:v>
                </c:pt>
              </c:strCache>
            </c:strRef>
          </c:tx>
          <c:spPr>
            <a:ln w="50800">
              <a:solidFill>
                <a:srgbClr val="00FFFF"/>
              </a:solidFill>
              <a:prstDash val="solid"/>
            </a:ln>
          </c:spPr>
          <c:marker>
            <c:symbol val="none"/>
          </c:marker>
          <c:cat>
            <c:numRef>
              <c:f>'Datos PIB y Población'!$A$97:$A$123</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'\DOCUME~1\rgillet\CONFIG~1\Temp\[Cuadros y Graficos.2.xlsx]Cuadro 101'!$N$97:$N$123</c:f>
              <c:numCache>
                <c:formatCode>General</c:formatCode>
                <c:ptCount val="27"/>
                <c:pt idx="0">
                  <c:v>80.346092249242801</c:v>
                </c:pt>
                <c:pt idx="1">
                  <c:v>84.763191280770641</c:v>
                </c:pt>
                <c:pt idx="2">
                  <c:v>89.820442376406078</c:v>
                </c:pt>
                <c:pt idx="3">
                  <c:v>94.041859855916272</c:v>
                </c:pt>
                <c:pt idx="4">
                  <c:v>102.78156797574532</c:v>
                </c:pt>
                <c:pt idx="5">
                  <c:v>103.40268830960839</c:v>
                </c:pt>
                <c:pt idx="6">
                  <c:v>111.19750191288919</c:v>
                </c:pt>
                <c:pt idx="7">
                  <c:v>124.55010577984302</c:v>
                </c:pt>
                <c:pt idx="8">
                  <c:v>132.24524896989402</c:v>
                </c:pt>
                <c:pt idx="9">
                  <c:v>133.71123728423709</c:v>
                </c:pt>
                <c:pt idx="10">
                  <c:v>145.53151456740596</c:v>
                </c:pt>
                <c:pt idx="11">
                  <c:v>152.86840629993685</c:v>
                </c:pt>
                <c:pt idx="12">
                  <c:v>162.65837799545676</c:v>
                </c:pt>
                <c:pt idx="13">
                  <c:v>162.52961781362495</c:v>
                </c:pt>
                <c:pt idx="14">
                  <c:v>156.8748097085344</c:v>
                </c:pt>
                <c:pt idx="15">
                  <c:v>161.8997647086843</c:v>
                </c:pt>
                <c:pt idx="16">
                  <c:v>164.10062493139051</c:v>
                </c:pt>
                <c:pt idx="17">
                  <c:v>165.69142896456736</c:v>
                </c:pt>
                <c:pt idx="18">
                  <c:v>169.76456591142198</c:v>
                </c:pt>
                <c:pt idx="19">
                  <c:v>178.16864977093286</c:v>
                </c:pt>
                <c:pt idx="20">
                  <c:v>186.44187765708466</c:v>
                </c:pt>
                <c:pt idx="21">
                  <c:v>192.48834347860858</c:v>
                </c:pt>
                <c:pt idx="22">
                  <c:v>201.06754232151087</c:v>
                </c:pt>
                <c:pt idx="23">
                  <c:v>204.95861180245066</c:v>
                </c:pt>
                <c:pt idx="24">
                  <c:v>202.24011098865518</c:v>
                </c:pt>
                <c:pt idx="25">
                  <c:v>212.32360264290637</c:v>
                </c:pt>
                <c:pt idx="26">
                  <c:v>226.13555746704415</c:v>
                </c:pt>
              </c:numCache>
            </c:numRef>
          </c:val>
          <c:smooth val="1"/>
          <c:extLst>
            <c:ext xmlns:c16="http://schemas.microsoft.com/office/drawing/2014/chart" uri="{C3380CC4-5D6E-409C-BE32-E72D297353CC}">
              <c16:uniqueId val="{00000003-F36B-4A5B-9D71-E74C9A5FA2E1}"/>
            </c:ext>
          </c:extLst>
        </c:ser>
        <c:dLbls>
          <c:showLegendKey val="0"/>
          <c:showVal val="0"/>
          <c:showCatName val="0"/>
          <c:showSerName val="0"/>
          <c:showPercent val="0"/>
          <c:showBubbleSize val="0"/>
        </c:dLbls>
        <c:smooth val="0"/>
        <c:axId val="274278656"/>
        <c:axId val="274288640"/>
      </c:lineChart>
      <c:catAx>
        <c:axId val="274278656"/>
        <c:scaling>
          <c:orientation val="minMax"/>
        </c:scaling>
        <c:delete val="0"/>
        <c:axPos val="b"/>
        <c:numFmt formatCode="General" sourceLinked="1"/>
        <c:majorTickMark val="out"/>
        <c:minorTickMark val="none"/>
        <c:tickLblPos val="nextTo"/>
        <c:spPr>
          <a:ln w="3175">
            <a:solidFill>
              <a:srgbClr val="000000"/>
            </a:solidFill>
            <a:prstDash val="solid"/>
          </a:ln>
        </c:spPr>
        <c:txPr>
          <a:bodyPr rot="-2820000" vert="horz"/>
          <a:lstStyle/>
          <a:p>
            <a:pPr>
              <a:defRPr sz="700" b="0" i="0" u="none" strike="noStrike" baseline="0">
                <a:solidFill>
                  <a:srgbClr val="000000"/>
                </a:solidFill>
                <a:latin typeface="Arial"/>
                <a:ea typeface="Arial"/>
                <a:cs typeface="Arial"/>
              </a:defRPr>
            </a:pPr>
            <a:endParaRPr lang="es-CL"/>
          </a:p>
        </c:txPr>
        <c:crossAx val="274288640"/>
        <c:crosses val="autoZero"/>
        <c:auto val="1"/>
        <c:lblAlgn val="ctr"/>
        <c:lblOffset val="100"/>
        <c:tickLblSkip val="1"/>
        <c:tickMarkSkip val="1"/>
        <c:noMultiLvlLbl val="0"/>
      </c:catAx>
      <c:valAx>
        <c:axId val="274288640"/>
        <c:scaling>
          <c:orientation val="minMax"/>
          <c:min val="50"/>
        </c:scaling>
        <c:delete val="0"/>
        <c:axPos val="l"/>
        <c:majorGridlines>
          <c:spPr>
            <a:ln w="3175">
              <a:no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s-CL"/>
          </a:p>
        </c:txPr>
        <c:crossAx val="274278656"/>
        <c:crosses val="autoZero"/>
        <c:crossBetween val="between"/>
      </c:valAx>
      <c:spPr>
        <a:noFill/>
        <a:ln w="12700">
          <a:noFill/>
          <a:prstDash val="solid"/>
        </a:ln>
      </c:spPr>
    </c:plotArea>
    <c:legend>
      <c:legendPos val="b"/>
      <c:layout>
        <c:manualLayout>
          <c:xMode val="edge"/>
          <c:yMode val="edge"/>
          <c:x val="0.11995863495346432"/>
          <c:y val="0.9033898305085255"/>
          <c:w val="0.88004136504653552"/>
          <c:h val="7.6271186440677846E-2"/>
        </c:manualLayout>
      </c:layout>
      <c:overlay val="0"/>
      <c:spPr>
        <a:solidFill>
          <a:srgbClr val="FFFFFF"/>
        </a:solidFill>
        <a:ln w="3175">
          <a:noFill/>
          <a:prstDash val="solid"/>
        </a:ln>
      </c:spPr>
      <c:txPr>
        <a:bodyPr/>
        <a:lstStyle/>
        <a:p>
          <a:pPr>
            <a:defRPr sz="700" b="0" i="0" u="none" strike="noStrike" baseline="0">
              <a:solidFill>
                <a:srgbClr val="000000"/>
              </a:solidFill>
              <a:latin typeface="Arial"/>
              <a:ea typeface="Arial"/>
              <a:cs typeface="Arial"/>
            </a:defRPr>
          </a:pPr>
          <a:endParaRPr lang="es-CL"/>
        </a:p>
      </c:txPr>
    </c:legend>
    <c:plotVisOnly val="1"/>
    <c:dispBlanksAs val="gap"/>
    <c:showDLblsOverMax val="0"/>
  </c:chart>
  <c:spPr>
    <a:noFill/>
    <a:ln w="9525">
      <a:noFill/>
    </a:ln>
  </c:spPr>
  <c:txPr>
    <a:bodyPr/>
    <a:lstStyle/>
    <a:p>
      <a:pPr>
        <a:defRPr sz="950" b="0" i="0" u="none" strike="noStrike" baseline="0">
          <a:solidFill>
            <a:srgbClr val="000000"/>
          </a:solidFill>
          <a:latin typeface="Arial"/>
          <a:ea typeface="Arial"/>
          <a:cs typeface="Arial"/>
        </a:defRPr>
      </a:pPr>
      <a:endParaRPr lang="es-C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L" sz="1000">
                <a:latin typeface="Arial" pitchFamily="34" charset="0"/>
                <a:cs typeface="Arial" pitchFamily="34" charset="0"/>
              </a:rPr>
              <a:t>Ventas de Supermercados 2000-2012</a:t>
            </a:r>
          </a:p>
          <a:p>
            <a:pPr>
              <a:defRPr/>
            </a:pPr>
            <a:r>
              <a:rPr lang="es-CL" sz="800">
                <a:latin typeface="Arial" pitchFamily="34" charset="0"/>
                <a:cs typeface="Arial" pitchFamily="34" charset="0"/>
              </a:rPr>
              <a:t>(millones de $)</a:t>
            </a:r>
          </a:p>
        </c:rich>
      </c:tx>
      <c:layout/>
      <c:overlay val="0"/>
    </c:title>
    <c:autoTitleDeleted val="0"/>
    <c:plotArea>
      <c:layout>
        <c:manualLayout>
          <c:layoutTarget val="inner"/>
          <c:xMode val="edge"/>
          <c:yMode val="edge"/>
          <c:x val="5.1684167594164915E-2"/>
          <c:y val="8.5040023325549371E-2"/>
          <c:w val="0.93329014568785373"/>
          <c:h val="0.75743946151152719"/>
        </c:manualLayout>
      </c:layout>
      <c:lineChart>
        <c:grouping val="standard"/>
        <c:varyColors val="0"/>
        <c:ser>
          <c:idx val="0"/>
          <c:order val="0"/>
          <c:tx>
            <c:strRef>
              <c:f>'Datos Ventas de Supermercados'!$A$7</c:f>
              <c:strCache>
                <c:ptCount val="1"/>
                <c:pt idx="0">
                  <c:v>Tarapacá</c:v>
                </c:pt>
              </c:strCache>
            </c:strRef>
          </c:tx>
          <c:spPr>
            <a:ln w="50800"/>
          </c:spPr>
          <c:marker>
            <c:symbol val="none"/>
          </c:marker>
          <c:cat>
            <c:numRef>
              <c:f>'Datos Ventas de Supermercados'!$J$5:$V$5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'Datos Ventas de Supermercados'!$J$7:$V$7</c:f>
              <c:numCache>
                <c:formatCode>#,##0</c:formatCode>
                <c:ptCount val="13"/>
                <c:pt idx="0">
                  <c:v>53939.243799999997</c:v>
                </c:pt>
                <c:pt idx="1">
                  <c:v>62615.754479000003</c:v>
                </c:pt>
                <c:pt idx="2">
                  <c:v>72179.136570999995</c:v>
                </c:pt>
                <c:pt idx="3">
                  <c:v>73883.258344999995</c:v>
                </c:pt>
                <c:pt idx="4">
                  <c:v>79412.349044000002</c:v>
                </c:pt>
                <c:pt idx="5">
                  <c:v>84915.282000000007</c:v>
                </c:pt>
                <c:pt idx="6">
                  <c:v>89243.49</c:v>
                </c:pt>
                <c:pt idx="7">
                  <c:v>94328.379365000001</c:v>
                </c:pt>
                <c:pt idx="8">
                  <c:v>72464</c:v>
                </c:pt>
                <c:pt idx="9">
                  <c:v>74110</c:v>
                </c:pt>
                <c:pt idx="10">
                  <c:v>81087</c:v>
                </c:pt>
                <c:pt idx="11">
                  <c:v>89484</c:v>
                </c:pt>
                <c:pt idx="12">
                  <c:v>105749</c:v>
                </c:pt>
              </c:numCache>
            </c:numRef>
          </c:val>
          <c:smooth val="0"/>
          <c:extLst>
            <c:ext xmlns:c16="http://schemas.microsoft.com/office/drawing/2014/chart" uri="{C3380CC4-5D6E-409C-BE32-E72D297353CC}">
              <c16:uniqueId val="{00000000-6D0A-4E03-AD73-997E0AF70541}"/>
            </c:ext>
          </c:extLst>
        </c:ser>
        <c:ser>
          <c:idx val="1"/>
          <c:order val="1"/>
          <c:tx>
            <c:strRef>
              <c:f>'Datos Ventas de Supermercados'!$A$8</c:f>
              <c:strCache>
                <c:ptCount val="1"/>
                <c:pt idx="0">
                  <c:v>Antofagasta</c:v>
                </c:pt>
              </c:strCache>
            </c:strRef>
          </c:tx>
          <c:spPr>
            <a:ln w="50800"/>
          </c:spPr>
          <c:marker>
            <c:symbol val="none"/>
          </c:marker>
          <c:cat>
            <c:numRef>
              <c:f>'Datos Ventas de Supermercados'!$J$5:$V$5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'Datos Ventas de Supermercados'!$J$8:$V$8</c:f>
              <c:numCache>
                <c:formatCode>#,##0</c:formatCode>
                <c:ptCount val="13"/>
                <c:pt idx="0">
                  <c:v>99134.104474000007</c:v>
                </c:pt>
                <c:pt idx="1">
                  <c:v>111037.54106600001</c:v>
                </c:pt>
                <c:pt idx="2">
                  <c:v>128007.763051</c:v>
                </c:pt>
                <c:pt idx="3">
                  <c:v>142660.380446</c:v>
                </c:pt>
                <c:pt idx="4">
                  <c:v>147537.041512</c:v>
                </c:pt>
                <c:pt idx="5">
                  <c:v>166014.701</c:v>
                </c:pt>
                <c:pt idx="6">
                  <c:v>186596.484</c:v>
                </c:pt>
                <c:pt idx="7">
                  <c:v>208370.092642</c:v>
                </c:pt>
                <c:pt idx="8">
                  <c:v>240560.58181732844</c:v>
                </c:pt>
                <c:pt idx="9">
                  <c:v>266137</c:v>
                </c:pt>
                <c:pt idx="10">
                  <c:v>294448</c:v>
                </c:pt>
                <c:pt idx="11">
                  <c:v>321587</c:v>
                </c:pt>
                <c:pt idx="12">
                  <c:v>364683</c:v>
                </c:pt>
              </c:numCache>
            </c:numRef>
          </c:val>
          <c:smooth val="0"/>
          <c:extLst>
            <c:ext xmlns:c16="http://schemas.microsoft.com/office/drawing/2014/chart" uri="{C3380CC4-5D6E-409C-BE32-E72D297353CC}">
              <c16:uniqueId val="{00000001-6D0A-4E03-AD73-997E0AF70541}"/>
            </c:ext>
          </c:extLst>
        </c:ser>
        <c:ser>
          <c:idx val="2"/>
          <c:order val="2"/>
          <c:tx>
            <c:strRef>
              <c:f>'Datos Ventas de Supermercados'!$A$9</c:f>
              <c:strCache>
                <c:ptCount val="1"/>
                <c:pt idx="0">
                  <c:v>Atacama</c:v>
                </c:pt>
              </c:strCache>
            </c:strRef>
          </c:tx>
          <c:spPr>
            <a:ln w="50800"/>
          </c:spPr>
          <c:marker>
            <c:symbol val="none"/>
          </c:marker>
          <c:cat>
            <c:numRef>
              <c:f>'Datos Ventas de Supermercados'!$J$5:$V$5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'Datos Ventas de Supermercados'!$J$9:$V$9</c:f>
              <c:numCache>
                <c:formatCode>#,##0</c:formatCode>
                <c:ptCount val="13"/>
                <c:pt idx="0">
                  <c:v>46068.689422000003</c:v>
                </c:pt>
                <c:pt idx="1">
                  <c:v>52140.364081</c:v>
                </c:pt>
                <c:pt idx="2">
                  <c:v>56099.418439000001</c:v>
                </c:pt>
                <c:pt idx="3">
                  <c:v>59577.508507999999</c:v>
                </c:pt>
                <c:pt idx="4">
                  <c:v>62857.087338999998</c:v>
                </c:pt>
                <c:pt idx="5">
                  <c:v>72094.218999999997</c:v>
                </c:pt>
                <c:pt idx="6">
                  <c:v>91431.758000000002</c:v>
                </c:pt>
                <c:pt idx="7">
                  <c:v>107963.654771</c:v>
                </c:pt>
                <c:pt idx="8">
                  <c:v>125115.7645882319</c:v>
                </c:pt>
                <c:pt idx="9">
                  <c:v>129870</c:v>
                </c:pt>
                <c:pt idx="10">
                  <c:v>142325</c:v>
                </c:pt>
                <c:pt idx="11">
                  <c:v>157226</c:v>
                </c:pt>
                <c:pt idx="12">
                  <c:v>170980</c:v>
                </c:pt>
              </c:numCache>
            </c:numRef>
          </c:val>
          <c:smooth val="0"/>
          <c:extLst>
            <c:ext xmlns:c16="http://schemas.microsoft.com/office/drawing/2014/chart" uri="{C3380CC4-5D6E-409C-BE32-E72D297353CC}">
              <c16:uniqueId val="{00000002-6D0A-4E03-AD73-997E0AF70541}"/>
            </c:ext>
          </c:extLst>
        </c:ser>
        <c:ser>
          <c:idx val="3"/>
          <c:order val="3"/>
          <c:tx>
            <c:strRef>
              <c:f>'Datos Ventas de Supermercados'!$A$10</c:f>
              <c:strCache>
                <c:ptCount val="1"/>
                <c:pt idx="0">
                  <c:v>Coquimbo</c:v>
                </c:pt>
              </c:strCache>
            </c:strRef>
          </c:tx>
          <c:spPr>
            <a:ln w="50800"/>
          </c:spPr>
          <c:marker>
            <c:symbol val="none"/>
          </c:marker>
          <c:cat>
            <c:numRef>
              <c:f>'Datos Ventas de Supermercados'!$J$5:$V$5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'Datos Ventas de Supermercados'!$J$10:$V$10</c:f>
              <c:numCache>
                <c:formatCode>#,##0</c:formatCode>
                <c:ptCount val="13"/>
                <c:pt idx="0">
                  <c:v>96377.524458</c:v>
                </c:pt>
                <c:pt idx="1">
                  <c:v>106030.39822</c:v>
                </c:pt>
                <c:pt idx="2">
                  <c:v>116377.20127999999</c:v>
                </c:pt>
                <c:pt idx="3">
                  <c:v>127003.40104500001</c:v>
                </c:pt>
                <c:pt idx="4">
                  <c:v>136423.211905</c:v>
                </c:pt>
                <c:pt idx="5">
                  <c:v>155145.48699999999</c:v>
                </c:pt>
                <c:pt idx="6">
                  <c:v>175949.845</c:v>
                </c:pt>
                <c:pt idx="7">
                  <c:v>201932.19565400001</c:v>
                </c:pt>
                <c:pt idx="8">
                  <c:v>234527.72225546036</c:v>
                </c:pt>
                <c:pt idx="9">
                  <c:v>248677</c:v>
                </c:pt>
                <c:pt idx="10">
                  <c:v>265074</c:v>
                </c:pt>
                <c:pt idx="11">
                  <c:v>289454</c:v>
                </c:pt>
                <c:pt idx="12">
                  <c:v>340874</c:v>
                </c:pt>
              </c:numCache>
            </c:numRef>
          </c:val>
          <c:smooth val="0"/>
          <c:extLst>
            <c:ext xmlns:c16="http://schemas.microsoft.com/office/drawing/2014/chart" uri="{C3380CC4-5D6E-409C-BE32-E72D297353CC}">
              <c16:uniqueId val="{00000003-6D0A-4E03-AD73-997E0AF70541}"/>
            </c:ext>
          </c:extLst>
        </c:ser>
        <c:dLbls>
          <c:showLegendKey val="0"/>
          <c:showVal val="0"/>
          <c:showCatName val="0"/>
          <c:showSerName val="0"/>
          <c:showPercent val="0"/>
          <c:showBubbleSize val="0"/>
        </c:dLbls>
        <c:smooth val="0"/>
        <c:axId val="274311424"/>
        <c:axId val="274321408"/>
      </c:lineChart>
      <c:catAx>
        <c:axId val="274311424"/>
        <c:scaling>
          <c:orientation val="minMax"/>
        </c:scaling>
        <c:delete val="0"/>
        <c:axPos val="b"/>
        <c:numFmt formatCode="General" sourceLinked="1"/>
        <c:majorTickMark val="none"/>
        <c:minorTickMark val="none"/>
        <c:tickLblPos val="nextTo"/>
        <c:txPr>
          <a:bodyPr rot="-2880000"/>
          <a:lstStyle/>
          <a:p>
            <a:pPr>
              <a:defRPr sz="600">
                <a:latin typeface="Arial" pitchFamily="34" charset="0"/>
                <a:cs typeface="Arial" pitchFamily="34" charset="0"/>
              </a:defRPr>
            </a:pPr>
            <a:endParaRPr lang="es-CL"/>
          </a:p>
        </c:txPr>
        <c:crossAx val="274321408"/>
        <c:crosses val="autoZero"/>
        <c:auto val="1"/>
        <c:lblAlgn val="ctr"/>
        <c:lblOffset val="100"/>
        <c:noMultiLvlLbl val="0"/>
      </c:catAx>
      <c:valAx>
        <c:axId val="274321408"/>
        <c:scaling>
          <c:orientation val="minMax"/>
        </c:scaling>
        <c:delete val="0"/>
        <c:axPos val="l"/>
        <c:majorGridlines>
          <c:spPr>
            <a:ln>
              <a:noFill/>
            </a:ln>
          </c:spPr>
        </c:majorGridlines>
        <c:numFmt formatCode="#,##0" sourceLinked="1"/>
        <c:majorTickMark val="none"/>
        <c:minorTickMark val="none"/>
        <c:tickLblPos val="nextTo"/>
        <c:spPr>
          <a:noFill/>
        </c:spPr>
        <c:txPr>
          <a:bodyPr/>
          <a:lstStyle/>
          <a:p>
            <a:pPr>
              <a:defRPr sz="700">
                <a:latin typeface="Arial" pitchFamily="34" charset="0"/>
                <a:cs typeface="Arial" pitchFamily="34" charset="0"/>
              </a:defRPr>
            </a:pPr>
            <a:endParaRPr lang="es-CL"/>
          </a:p>
        </c:txPr>
        <c:crossAx val="274311424"/>
        <c:crosses val="autoZero"/>
        <c:crossBetween val="between"/>
      </c:valAx>
    </c:plotArea>
    <c:legend>
      <c:legendPos val="b"/>
      <c:legendEntry>
        <c:idx val="2"/>
        <c:txPr>
          <a:bodyPr/>
          <a:lstStyle/>
          <a:p>
            <a:pPr>
              <a:defRPr sz="700">
                <a:latin typeface="Arial" pitchFamily="34" charset="0"/>
                <a:cs typeface="Arial" pitchFamily="34" charset="0"/>
              </a:defRPr>
            </a:pPr>
            <a:endParaRPr lang="es-CL"/>
          </a:p>
        </c:txPr>
      </c:legendEntry>
      <c:layout>
        <c:manualLayout>
          <c:xMode val="edge"/>
          <c:yMode val="edge"/>
          <c:x val="8.3815756571130551E-2"/>
          <c:y val="0.93050213525651904"/>
          <c:w val="0.80183486439195095"/>
          <c:h val="6.8729585885097699E-2"/>
        </c:manualLayout>
      </c:layout>
      <c:overlay val="0"/>
      <c:txPr>
        <a:bodyPr/>
        <a:lstStyle/>
        <a:p>
          <a:pPr>
            <a:defRPr sz="800">
              <a:latin typeface="Arial" pitchFamily="34" charset="0"/>
              <a:cs typeface="Arial" pitchFamily="34" charset="0"/>
            </a:defRPr>
          </a:pPr>
          <a:endParaRPr lang="es-CL"/>
        </a:p>
      </c:txPr>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L" sz="1200">
                <a:latin typeface="Arial" pitchFamily="34" charset="0"/>
                <a:cs typeface="Arial" pitchFamily="34" charset="0"/>
              </a:rPr>
              <a:t>Ventas de Supermercados 1993-2012</a:t>
            </a:r>
          </a:p>
          <a:p>
            <a:pPr>
              <a:defRPr/>
            </a:pPr>
            <a:r>
              <a:rPr lang="es-CL" sz="1000">
                <a:latin typeface="Arial" pitchFamily="34" charset="0"/>
                <a:cs typeface="Arial" pitchFamily="34" charset="0"/>
              </a:rPr>
              <a:t>(Tasas</a:t>
            </a:r>
            <a:r>
              <a:rPr lang="es-CL" sz="1000" baseline="0">
                <a:latin typeface="Arial" pitchFamily="34" charset="0"/>
                <a:cs typeface="Arial" pitchFamily="34" charset="0"/>
              </a:rPr>
              <a:t> de Variación %)</a:t>
            </a:r>
            <a:endParaRPr lang="es-CL" sz="1000">
              <a:latin typeface="Arial" pitchFamily="34" charset="0"/>
              <a:cs typeface="Arial" pitchFamily="34" charset="0"/>
            </a:endParaRPr>
          </a:p>
        </c:rich>
      </c:tx>
      <c:layout/>
      <c:overlay val="0"/>
    </c:title>
    <c:autoTitleDeleted val="0"/>
    <c:plotArea>
      <c:layout/>
      <c:lineChart>
        <c:grouping val="standard"/>
        <c:varyColors val="0"/>
        <c:ser>
          <c:idx val="0"/>
          <c:order val="0"/>
          <c:tx>
            <c:strRef>
              <c:f>'Datos Ventas de Supermercados'!$A$13</c:f>
              <c:strCache>
                <c:ptCount val="1"/>
                <c:pt idx="0">
                  <c:v>Tarapacá</c:v>
                </c:pt>
              </c:strCache>
            </c:strRef>
          </c:tx>
          <c:spPr>
            <a:ln w="50800"/>
          </c:spPr>
          <c:marker>
            <c:symbol val="none"/>
          </c:marker>
          <c:cat>
            <c:numRef>
              <c:f>'Datos Ventas de Supermercados'!$C$5:$V$5</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'Datos Ventas de Supermercados'!$C$13:$V$13</c:f>
              <c:numCache>
                <c:formatCode>0%</c:formatCode>
                <c:ptCount val="20"/>
                <c:pt idx="0">
                  <c:v>0.17894421620552992</c:v>
                </c:pt>
                <c:pt idx="1">
                  <c:v>0.1685958610927385</c:v>
                </c:pt>
                <c:pt idx="2">
                  <c:v>0.20757431474468713</c:v>
                </c:pt>
                <c:pt idx="3">
                  <c:v>0.31737535471263278</c:v>
                </c:pt>
                <c:pt idx="4">
                  <c:v>0.25618170521021311</c:v>
                </c:pt>
                <c:pt idx="5">
                  <c:v>0.18809060748962736</c:v>
                </c:pt>
                <c:pt idx="6">
                  <c:v>5.8631588131029533E-2</c:v>
                </c:pt>
                <c:pt idx="7">
                  <c:v>7.9949925763924012E-2</c:v>
                </c:pt>
                <c:pt idx="8">
                  <c:v>0.1608571063986628</c:v>
                </c:pt>
                <c:pt idx="9">
                  <c:v>0.15273124426229412</c:v>
                </c:pt>
                <c:pt idx="10">
                  <c:v>2.3609617057745114E-2</c:v>
                </c:pt>
                <c:pt idx="11">
                  <c:v>7.4835501612310562E-2</c:v>
                </c:pt>
                <c:pt idx="12">
                  <c:v>6.9295682878628861E-2</c:v>
                </c:pt>
                <c:pt idx="13">
                  <c:v>5.0970895910114278E-2</c:v>
                </c:pt>
                <c:pt idx="14">
                  <c:v>5.6977706329055522E-2</c:v>
                </c:pt>
                <c:pt idx="15">
                  <c:v>-0.2317900457125065</c:v>
                </c:pt>
                <c:pt idx="16">
                  <c:v>2.2714727312872496E-2</c:v>
                </c:pt>
                <c:pt idx="17">
                  <c:v>9.4143840237484788E-2</c:v>
                </c:pt>
                <c:pt idx="18">
                  <c:v>0.10355544045284693</c:v>
                </c:pt>
                <c:pt idx="19">
                  <c:v>0.18176433775870549</c:v>
                </c:pt>
              </c:numCache>
            </c:numRef>
          </c:val>
          <c:smooth val="0"/>
          <c:extLst>
            <c:ext xmlns:c16="http://schemas.microsoft.com/office/drawing/2014/chart" uri="{C3380CC4-5D6E-409C-BE32-E72D297353CC}">
              <c16:uniqueId val="{00000000-539A-4417-8957-9A79F809272A}"/>
            </c:ext>
          </c:extLst>
        </c:ser>
        <c:ser>
          <c:idx val="1"/>
          <c:order val="1"/>
          <c:tx>
            <c:strRef>
              <c:f>'Datos Ventas de Supermercados'!$A$14</c:f>
              <c:strCache>
                <c:ptCount val="1"/>
                <c:pt idx="0">
                  <c:v>Antofagasta</c:v>
                </c:pt>
              </c:strCache>
            </c:strRef>
          </c:tx>
          <c:spPr>
            <a:ln w="50800"/>
          </c:spPr>
          <c:marker>
            <c:symbol val="none"/>
          </c:marker>
          <c:cat>
            <c:numRef>
              <c:f>'Datos Ventas de Supermercados'!$C$5:$V$5</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'Datos Ventas de Supermercados'!$C$14:$V$14</c:f>
              <c:numCache>
                <c:formatCode>0%</c:formatCode>
                <c:ptCount val="20"/>
                <c:pt idx="0">
                  <c:v>0.3290276724823662</c:v>
                </c:pt>
                <c:pt idx="1">
                  <c:v>0.21113122355605007</c:v>
                </c:pt>
                <c:pt idx="2">
                  <c:v>0.2071128019663111</c:v>
                </c:pt>
                <c:pt idx="3">
                  <c:v>0.22628720567739102</c:v>
                </c:pt>
                <c:pt idx="4">
                  <c:v>0.15980506609902179</c:v>
                </c:pt>
                <c:pt idx="5">
                  <c:v>0.16029420497055646</c:v>
                </c:pt>
                <c:pt idx="6">
                  <c:v>0.23916036813356834</c:v>
                </c:pt>
                <c:pt idx="7">
                  <c:v>5.6921505012762941E-2</c:v>
                </c:pt>
                <c:pt idx="8">
                  <c:v>0.12007408202413261</c:v>
                </c:pt>
                <c:pt idx="9">
                  <c:v>0.15283319336937584</c:v>
                </c:pt>
                <c:pt idx="10">
                  <c:v>0.11446663113050559</c:v>
                </c:pt>
                <c:pt idx="11">
                  <c:v>3.4183709946336016E-2</c:v>
                </c:pt>
                <c:pt idx="12">
                  <c:v>0.12524081612750182</c:v>
                </c:pt>
                <c:pt idx="13">
                  <c:v>0.12397566526352377</c:v>
                </c:pt>
                <c:pt idx="14">
                  <c:v>0.11668820427506033</c:v>
                </c:pt>
                <c:pt idx="15">
                  <c:v>0.1544870896162378</c:v>
                </c:pt>
                <c:pt idx="16">
                  <c:v>0.10632007118312181</c:v>
                </c:pt>
                <c:pt idx="17">
                  <c:v>0.10637754239357933</c:v>
                </c:pt>
                <c:pt idx="18">
                  <c:v>9.2169075694180203E-2</c:v>
                </c:pt>
                <c:pt idx="19">
                  <c:v>0.13401039221112798</c:v>
                </c:pt>
              </c:numCache>
            </c:numRef>
          </c:val>
          <c:smooth val="0"/>
          <c:extLst>
            <c:ext xmlns:c16="http://schemas.microsoft.com/office/drawing/2014/chart" uri="{C3380CC4-5D6E-409C-BE32-E72D297353CC}">
              <c16:uniqueId val="{00000001-539A-4417-8957-9A79F809272A}"/>
            </c:ext>
          </c:extLst>
        </c:ser>
        <c:ser>
          <c:idx val="2"/>
          <c:order val="2"/>
          <c:tx>
            <c:strRef>
              <c:f>'Datos Ventas de Supermercados'!$A$15</c:f>
              <c:strCache>
                <c:ptCount val="1"/>
                <c:pt idx="0">
                  <c:v>Atacama</c:v>
                </c:pt>
              </c:strCache>
            </c:strRef>
          </c:tx>
          <c:spPr>
            <a:ln w="50800"/>
          </c:spPr>
          <c:marker>
            <c:symbol val="none"/>
          </c:marker>
          <c:cat>
            <c:numRef>
              <c:f>'Datos Ventas de Supermercados'!$C$5:$V$5</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'Datos Ventas de Supermercados'!$C$15:$V$15</c:f>
              <c:numCache>
                <c:formatCode>0%</c:formatCode>
                <c:ptCount val="20"/>
                <c:pt idx="0">
                  <c:v>0.23367065950310173</c:v>
                </c:pt>
                <c:pt idx="1">
                  <c:v>0.33517623032972033</c:v>
                </c:pt>
                <c:pt idx="2">
                  <c:v>0.15947579910380849</c:v>
                </c:pt>
                <c:pt idx="3">
                  <c:v>0.18104515019057543</c:v>
                </c:pt>
                <c:pt idx="4">
                  <c:v>0.14749244046636467</c:v>
                </c:pt>
                <c:pt idx="5">
                  <c:v>0.11272104846253339</c:v>
                </c:pt>
                <c:pt idx="6">
                  <c:v>0.10188661598778093</c:v>
                </c:pt>
                <c:pt idx="7">
                  <c:v>0.10084186947596496</c:v>
                </c:pt>
                <c:pt idx="8">
                  <c:v>0.13179612303232746</c:v>
                </c:pt>
                <c:pt idx="9">
                  <c:v>7.5930700289119857E-2</c:v>
                </c:pt>
                <c:pt idx="10">
                  <c:v>6.1998683155368495E-2</c:v>
                </c:pt>
                <c:pt idx="11">
                  <c:v>5.5047263860650064E-2</c:v>
                </c:pt>
                <c:pt idx="12">
                  <c:v>0.14695449713064845</c:v>
                </c:pt>
                <c:pt idx="13">
                  <c:v>0.26822593084752056</c:v>
                </c:pt>
                <c:pt idx="14">
                  <c:v>0.18081131909330672</c:v>
                </c:pt>
                <c:pt idx="15">
                  <c:v>0.15886929590900722</c:v>
                </c:pt>
                <c:pt idx="16">
                  <c:v>3.7998692070617457E-2</c:v>
                </c:pt>
                <c:pt idx="17">
                  <c:v>9.5903595903595873E-2</c:v>
                </c:pt>
                <c:pt idx="18">
                  <c:v>0.10469699631125939</c:v>
                </c:pt>
                <c:pt idx="19">
                  <c:v>8.7479170111813609E-2</c:v>
                </c:pt>
              </c:numCache>
            </c:numRef>
          </c:val>
          <c:smooth val="0"/>
          <c:extLst>
            <c:ext xmlns:c16="http://schemas.microsoft.com/office/drawing/2014/chart" uri="{C3380CC4-5D6E-409C-BE32-E72D297353CC}">
              <c16:uniqueId val="{00000002-539A-4417-8957-9A79F809272A}"/>
            </c:ext>
          </c:extLst>
        </c:ser>
        <c:ser>
          <c:idx val="3"/>
          <c:order val="3"/>
          <c:tx>
            <c:strRef>
              <c:f>'Datos Ventas de Supermercados'!$A$16</c:f>
              <c:strCache>
                <c:ptCount val="1"/>
                <c:pt idx="0">
                  <c:v>Coquimbo</c:v>
                </c:pt>
              </c:strCache>
            </c:strRef>
          </c:tx>
          <c:spPr>
            <a:ln w="50800"/>
          </c:spPr>
          <c:marker>
            <c:symbol val="none"/>
          </c:marker>
          <c:cat>
            <c:numRef>
              <c:f>'Datos Ventas de Supermercados'!$C$5:$V$5</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'Datos Ventas de Supermercados'!$C$16:$V$16</c:f>
              <c:numCache>
                <c:formatCode>0%</c:formatCode>
                <c:ptCount val="20"/>
                <c:pt idx="0">
                  <c:v>0.51899109420687939</c:v>
                </c:pt>
                <c:pt idx="1">
                  <c:v>0.37811036307380741</c:v>
                </c:pt>
                <c:pt idx="2">
                  <c:v>0.28727625691617442</c:v>
                </c:pt>
                <c:pt idx="3">
                  <c:v>0.24789776327991375</c:v>
                </c:pt>
                <c:pt idx="4">
                  <c:v>0.14482151908304242</c:v>
                </c:pt>
                <c:pt idx="5">
                  <c:v>0.1196672105438723</c:v>
                </c:pt>
                <c:pt idx="6">
                  <c:v>0.14882867909237607</c:v>
                </c:pt>
                <c:pt idx="7">
                  <c:v>0.10651756918014987</c:v>
                </c:pt>
                <c:pt idx="8">
                  <c:v>0.10015689670683114</c:v>
                </c:pt>
                <c:pt idx="9">
                  <c:v>9.7583365088676377E-2</c:v>
                </c:pt>
                <c:pt idx="10">
                  <c:v>9.1308260107009209E-2</c:v>
                </c:pt>
                <c:pt idx="11">
                  <c:v>7.4169752797898392E-2</c:v>
                </c:pt>
                <c:pt idx="12">
                  <c:v>0.13723672704640233</c:v>
                </c:pt>
                <c:pt idx="13">
                  <c:v>0.13409579873889599</c:v>
                </c:pt>
                <c:pt idx="14">
                  <c:v>0.14766907384317385</c:v>
                </c:pt>
                <c:pt idx="15">
                  <c:v>0.1614181755212083</c:v>
                </c:pt>
                <c:pt idx="16">
                  <c:v>6.0330939167726472E-2</c:v>
                </c:pt>
                <c:pt idx="17">
                  <c:v>6.5936938277363799E-2</c:v>
                </c:pt>
                <c:pt idx="18">
                  <c:v>9.1974316605928808E-2</c:v>
                </c:pt>
                <c:pt idx="19">
                  <c:v>0.1776448071196115</c:v>
                </c:pt>
              </c:numCache>
            </c:numRef>
          </c:val>
          <c:smooth val="0"/>
          <c:extLst>
            <c:ext xmlns:c16="http://schemas.microsoft.com/office/drawing/2014/chart" uri="{C3380CC4-5D6E-409C-BE32-E72D297353CC}">
              <c16:uniqueId val="{00000003-539A-4417-8957-9A79F809272A}"/>
            </c:ext>
          </c:extLst>
        </c:ser>
        <c:dLbls>
          <c:showLegendKey val="0"/>
          <c:showVal val="0"/>
          <c:showCatName val="0"/>
          <c:showSerName val="0"/>
          <c:showPercent val="0"/>
          <c:showBubbleSize val="0"/>
        </c:dLbls>
        <c:smooth val="0"/>
        <c:axId val="274483840"/>
        <c:axId val="274485632"/>
      </c:lineChart>
      <c:catAx>
        <c:axId val="274483840"/>
        <c:scaling>
          <c:orientation val="minMax"/>
        </c:scaling>
        <c:delete val="0"/>
        <c:axPos val="b"/>
        <c:numFmt formatCode="General" sourceLinked="1"/>
        <c:majorTickMark val="none"/>
        <c:minorTickMark val="none"/>
        <c:tickLblPos val="nextTo"/>
        <c:txPr>
          <a:bodyPr rot="-2760000"/>
          <a:lstStyle/>
          <a:p>
            <a:pPr>
              <a:defRPr sz="600">
                <a:latin typeface="Arial" pitchFamily="34" charset="0"/>
                <a:cs typeface="Arial" pitchFamily="34" charset="0"/>
              </a:defRPr>
            </a:pPr>
            <a:endParaRPr lang="es-CL"/>
          </a:p>
        </c:txPr>
        <c:crossAx val="274485632"/>
        <c:crosses val="autoZero"/>
        <c:auto val="1"/>
        <c:lblAlgn val="ctr"/>
        <c:lblOffset val="100"/>
        <c:noMultiLvlLbl val="0"/>
      </c:catAx>
      <c:valAx>
        <c:axId val="274485632"/>
        <c:scaling>
          <c:orientation val="minMax"/>
        </c:scaling>
        <c:delete val="0"/>
        <c:axPos val="l"/>
        <c:majorGridlines>
          <c:spPr>
            <a:ln>
              <a:noFill/>
            </a:ln>
          </c:spPr>
        </c:majorGridlines>
        <c:numFmt formatCode="0%" sourceLinked="1"/>
        <c:majorTickMark val="none"/>
        <c:minorTickMark val="none"/>
        <c:tickLblPos val="nextTo"/>
        <c:txPr>
          <a:bodyPr/>
          <a:lstStyle/>
          <a:p>
            <a:pPr>
              <a:defRPr sz="700">
                <a:latin typeface="Arial" pitchFamily="34" charset="0"/>
                <a:cs typeface="Arial" pitchFamily="34" charset="0"/>
              </a:defRPr>
            </a:pPr>
            <a:endParaRPr lang="es-CL"/>
          </a:p>
        </c:txPr>
        <c:crossAx val="274483840"/>
        <c:crosses val="autoZero"/>
        <c:crossBetween val="between"/>
      </c:valAx>
      <c:spPr>
        <a:noFill/>
      </c:spPr>
    </c:plotArea>
    <c:legend>
      <c:legendPos val="b"/>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E41F-DEB4-44A8-AA37-B270A737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9387</Words>
  <Characters>51630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SUBDERE</dc:creator>
  <cp:lastModifiedBy>Luciano Antonio Ortiz Cabrera</cp:lastModifiedBy>
  <cp:revision>2</cp:revision>
  <cp:lastPrinted>2013-08-01T20:12:00Z</cp:lastPrinted>
  <dcterms:created xsi:type="dcterms:W3CDTF">2017-06-08T20:21:00Z</dcterms:created>
  <dcterms:modified xsi:type="dcterms:W3CDTF">2017-06-08T20:21:00Z</dcterms:modified>
</cp:coreProperties>
</file>