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theme/themeOverride7.xml" ContentType="application/vnd.openxmlformats-officedocument.themeOverride+xml"/>
  <Override PartName="/word/charts/chart11.xml" ContentType="application/vnd.openxmlformats-officedocument.drawingml.chart+xml"/>
  <Override PartName="/word/theme/themeOverride8.xml" ContentType="application/vnd.openxmlformats-officedocument.themeOverride+xml"/>
  <Override PartName="/word/charts/chart12.xml" ContentType="application/vnd.openxmlformats-officedocument.drawingml.chart+xml"/>
  <Override PartName="/word/charts/chart13.xml" ContentType="application/vnd.openxmlformats-officedocument.drawingml.chart+xml"/>
  <Override PartName="/word/theme/themeOverride9.xml" ContentType="application/vnd.openxmlformats-officedocument.themeOverride+xml"/>
  <Override PartName="/word/charts/chart14.xml" ContentType="application/vnd.openxmlformats-officedocument.drawingml.chart+xml"/>
  <Override PartName="/word/theme/themeOverride10.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1A5E" w:rsidRDefault="00D33AE3" w:rsidP="00FC3447">
      <w:pPr>
        <w:spacing w:after="0"/>
        <w:jc w:val="center"/>
        <w:rPr>
          <w:b/>
          <w:sz w:val="26"/>
          <w:szCs w:val="26"/>
        </w:rPr>
      </w:pPr>
      <w:r w:rsidRPr="00187F70">
        <w:rPr>
          <w:rFonts w:ascii="Verdana" w:hAnsi="Verdana"/>
          <w:noProof/>
          <w:color w:val="787878"/>
          <w:sz w:val="18"/>
          <w:szCs w:val="18"/>
          <w:lang w:eastAsia="es-CL"/>
        </w:rPr>
        <w:drawing>
          <wp:anchor distT="0" distB="0" distL="114300" distR="114300" simplePos="0" relativeHeight="251658240" behindDoc="0" locked="0" layoutInCell="1" allowOverlap="1" wp14:anchorId="286EF998" wp14:editId="4469FEAE">
            <wp:simplePos x="0" y="0"/>
            <wp:positionH relativeFrom="column">
              <wp:posOffset>-380365</wp:posOffset>
            </wp:positionH>
            <wp:positionV relativeFrom="paragraph">
              <wp:posOffset>-44450</wp:posOffset>
            </wp:positionV>
            <wp:extent cx="1594485" cy="1594485"/>
            <wp:effectExtent l="0" t="0" r="5715" b="5715"/>
            <wp:wrapSquare wrapText="bothSides"/>
            <wp:docPr id="40" name="Imagen 40" descr="Descripción: Inicio">
              <a:hlinkClick xmlns:a="http://schemas.openxmlformats.org/drawingml/2006/main" r:id="rId9" tooltip="Inici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Inicio">
                      <a:hlinkClick r:id="rId9" tooltip="Inicio"/>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94485" cy="15944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1A5E">
        <w:rPr>
          <w:b/>
          <w:sz w:val="26"/>
          <w:szCs w:val="26"/>
        </w:rPr>
        <w:br/>
      </w: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D33AE3" w:rsidRDefault="00D33AE3" w:rsidP="00D33AE3">
      <w:pPr>
        <w:spacing w:after="0"/>
        <w:jc w:val="center"/>
        <w:rPr>
          <w:b/>
          <w:sz w:val="26"/>
          <w:szCs w:val="26"/>
        </w:rPr>
      </w:pPr>
    </w:p>
    <w:p w:rsidR="004B16CA" w:rsidRDefault="004B16CA" w:rsidP="00D33AE3">
      <w:pPr>
        <w:spacing w:after="0"/>
        <w:jc w:val="center"/>
        <w:rPr>
          <w:b/>
          <w:sz w:val="32"/>
          <w:szCs w:val="32"/>
        </w:rPr>
      </w:pPr>
      <w:r>
        <w:rPr>
          <w:b/>
          <w:sz w:val="32"/>
          <w:szCs w:val="32"/>
        </w:rPr>
        <w:t>EVALUACIÓN OPERACIÓN Nº LEY 20.330</w:t>
      </w:r>
    </w:p>
    <w:p w:rsidR="00D33AE3" w:rsidRPr="004B16CA" w:rsidRDefault="00D33AE3" w:rsidP="00D33AE3">
      <w:pPr>
        <w:spacing w:after="0"/>
        <w:jc w:val="center"/>
        <w:rPr>
          <w:b/>
          <w:sz w:val="32"/>
          <w:szCs w:val="32"/>
        </w:rPr>
      </w:pPr>
      <w:r w:rsidRPr="004B16CA">
        <w:rPr>
          <w:b/>
          <w:sz w:val="32"/>
          <w:szCs w:val="32"/>
        </w:rPr>
        <w:t>QUE “FOMENTA QUE PROFESIONALES</w:t>
      </w:r>
    </w:p>
    <w:p w:rsidR="004B16CA" w:rsidRDefault="00D33AE3" w:rsidP="004B16CA">
      <w:pPr>
        <w:spacing w:after="0" w:line="240" w:lineRule="auto"/>
        <w:jc w:val="center"/>
        <w:rPr>
          <w:b/>
          <w:sz w:val="32"/>
          <w:szCs w:val="32"/>
        </w:rPr>
      </w:pPr>
      <w:r w:rsidRPr="004B16CA">
        <w:rPr>
          <w:b/>
          <w:sz w:val="32"/>
          <w:szCs w:val="32"/>
        </w:rPr>
        <w:t>Y TÉCNICOS JÓVENES P</w:t>
      </w:r>
      <w:r w:rsidR="004B16CA">
        <w:rPr>
          <w:b/>
          <w:sz w:val="32"/>
          <w:szCs w:val="32"/>
        </w:rPr>
        <w:t>RESTEN SERVICIOS EN LAS COMUNAS</w:t>
      </w:r>
    </w:p>
    <w:p w:rsidR="00D33AE3" w:rsidRPr="004B16CA" w:rsidRDefault="00D33AE3" w:rsidP="00D33AE3">
      <w:pPr>
        <w:jc w:val="center"/>
        <w:rPr>
          <w:b/>
          <w:sz w:val="32"/>
          <w:szCs w:val="32"/>
        </w:rPr>
      </w:pPr>
      <w:r w:rsidRPr="004B16CA">
        <w:rPr>
          <w:b/>
          <w:sz w:val="32"/>
          <w:szCs w:val="32"/>
        </w:rPr>
        <w:t>CON MENORES NIVELES DE DESARROLLO DEL PAÍS”</w:t>
      </w:r>
    </w:p>
    <w:p w:rsidR="004B16CA" w:rsidRDefault="004B16CA" w:rsidP="00187F70">
      <w:pPr>
        <w:jc w:val="center"/>
        <w:rPr>
          <w:b/>
          <w:sz w:val="26"/>
          <w:szCs w:val="26"/>
        </w:rPr>
      </w:pPr>
    </w:p>
    <w:p w:rsidR="004B16CA" w:rsidRPr="004B16CA" w:rsidRDefault="004B16CA" w:rsidP="00187F70">
      <w:pPr>
        <w:jc w:val="center"/>
        <w:rPr>
          <w:b/>
          <w:sz w:val="28"/>
          <w:szCs w:val="28"/>
        </w:rPr>
      </w:pPr>
      <w:r w:rsidRPr="004B16CA">
        <w:rPr>
          <w:b/>
          <w:sz w:val="28"/>
          <w:szCs w:val="28"/>
        </w:rPr>
        <w:t>INFORME FINAL</w:t>
      </w:r>
    </w:p>
    <w:p w:rsidR="00D33AE3" w:rsidRPr="004B16CA" w:rsidRDefault="00D713E6" w:rsidP="00187F70">
      <w:pPr>
        <w:jc w:val="center"/>
        <w:rPr>
          <w:b/>
          <w:sz w:val="24"/>
          <w:szCs w:val="24"/>
        </w:rPr>
      </w:pPr>
      <w:r>
        <w:rPr>
          <w:b/>
          <w:sz w:val="24"/>
          <w:szCs w:val="24"/>
        </w:rPr>
        <w:t>Noviembre</w:t>
      </w:r>
      <w:r w:rsidR="004B16CA" w:rsidRPr="004B16CA">
        <w:rPr>
          <w:b/>
          <w:sz w:val="24"/>
          <w:szCs w:val="24"/>
        </w:rPr>
        <w:t xml:space="preserve"> de </w:t>
      </w:r>
      <w:r w:rsidR="00D33AE3" w:rsidRPr="004B16CA">
        <w:rPr>
          <w:b/>
          <w:sz w:val="24"/>
          <w:szCs w:val="24"/>
        </w:rPr>
        <w:t>20</w:t>
      </w:r>
      <w:r w:rsidR="00BC1416" w:rsidRPr="004B16CA">
        <w:rPr>
          <w:b/>
          <w:sz w:val="24"/>
          <w:szCs w:val="24"/>
        </w:rPr>
        <w:t>12</w:t>
      </w:r>
    </w:p>
    <w:p w:rsidR="00D33AE3" w:rsidRDefault="00D33AE3">
      <w:pPr>
        <w:rPr>
          <w:b/>
          <w:sz w:val="26"/>
          <w:szCs w:val="26"/>
        </w:rPr>
      </w:pPr>
    </w:p>
    <w:p w:rsidR="00D33AE3" w:rsidRDefault="00D33AE3">
      <w:pPr>
        <w:rPr>
          <w:b/>
          <w:sz w:val="26"/>
          <w:szCs w:val="26"/>
        </w:rPr>
      </w:pPr>
    </w:p>
    <w:p w:rsidR="00D33AE3" w:rsidRDefault="00D33AE3">
      <w:pPr>
        <w:rPr>
          <w:b/>
          <w:sz w:val="26"/>
          <w:szCs w:val="26"/>
        </w:rPr>
      </w:pPr>
    </w:p>
    <w:p w:rsidR="00D33AE3" w:rsidRDefault="00D33AE3">
      <w:pPr>
        <w:rPr>
          <w:b/>
          <w:sz w:val="26"/>
          <w:szCs w:val="26"/>
        </w:rPr>
      </w:pPr>
    </w:p>
    <w:p w:rsidR="00D33AE3" w:rsidRDefault="00D33AE3">
      <w:pPr>
        <w:rPr>
          <w:b/>
          <w:sz w:val="26"/>
          <w:szCs w:val="26"/>
        </w:rPr>
      </w:pPr>
    </w:p>
    <w:p w:rsidR="00D33AE3" w:rsidRDefault="00D33AE3">
      <w:pPr>
        <w:rPr>
          <w:b/>
          <w:sz w:val="26"/>
          <w:szCs w:val="26"/>
        </w:rPr>
      </w:pPr>
    </w:p>
    <w:p w:rsidR="00D33AE3" w:rsidRDefault="00D33AE3">
      <w:pPr>
        <w:rPr>
          <w:b/>
          <w:sz w:val="26"/>
          <w:szCs w:val="26"/>
        </w:rPr>
      </w:pPr>
    </w:p>
    <w:sdt>
      <w:sdtPr>
        <w:rPr>
          <w:rFonts w:asciiTheme="minorHAnsi" w:eastAsiaTheme="minorHAnsi" w:hAnsiTheme="minorHAnsi" w:cstheme="minorBidi"/>
          <w:b w:val="0"/>
          <w:bCs w:val="0"/>
          <w:sz w:val="22"/>
          <w:szCs w:val="22"/>
          <w:lang w:val="es-ES" w:eastAsia="en-US"/>
        </w:rPr>
        <w:id w:val="1800493573"/>
        <w:docPartObj>
          <w:docPartGallery w:val="Table of Contents"/>
          <w:docPartUnique/>
        </w:docPartObj>
      </w:sdtPr>
      <w:sdtEndPr/>
      <w:sdtContent>
        <w:p w:rsidR="004B16CA" w:rsidRDefault="004B16CA" w:rsidP="004B16CA">
          <w:pPr>
            <w:pStyle w:val="TtulodeTDC"/>
            <w:jc w:val="center"/>
            <w:rPr>
              <w:lang w:val="es-ES"/>
            </w:rPr>
          </w:pPr>
          <w:r>
            <w:rPr>
              <w:lang w:val="es-ES"/>
            </w:rPr>
            <w:t>Í N D I C E</w:t>
          </w:r>
        </w:p>
        <w:p w:rsidR="004B16CA" w:rsidRPr="004B16CA" w:rsidRDefault="004B16CA" w:rsidP="004B16CA">
          <w:pPr>
            <w:rPr>
              <w:lang w:val="es-ES" w:eastAsia="es-CL"/>
            </w:rPr>
          </w:pPr>
        </w:p>
        <w:p w:rsidR="0092318E" w:rsidRDefault="004B16CA">
          <w:pPr>
            <w:pStyle w:val="TDC1"/>
            <w:rPr>
              <w:b w:val="0"/>
            </w:rPr>
          </w:pPr>
          <w:r>
            <w:fldChar w:fldCharType="begin"/>
          </w:r>
          <w:r>
            <w:instrText xml:space="preserve"> TOC \o "1-3" \h \z \u </w:instrText>
          </w:r>
          <w:r>
            <w:fldChar w:fldCharType="separate"/>
          </w:r>
          <w:hyperlink w:anchor="_Toc341866702" w:history="1">
            <w:r w:rsidR="0092318E" w:rsidRPr="008A5CDD">
              <w:rPr>
                <w:rStyle w:val="Hipervnculo"/>
              </w:rPr>
              <w:t>1.</w:t>
            </w:r>
            <w:r w:rsidR="0092318E">
              <w:rPr>
                <w:b w:val="0"/>
              </w:rPr>
              <w:tab/>
            </w:r>
            <w:r w:rsidR="0092318E" w:rsidRPr="008A5CDD">
              <w:rPr>
                <w:rStyle w:val="Hipervnculo"/>
              </w:rPr>
              <w:t>ANTECEDENTES</w:t>
            </w:r>
            <w:r w:rsidR="0092318E">
              <w:rPr>
                <w:webHidden/>
              </w:rPr>
              <w:tab/>
            </w:r>
            <w:r w:rsidR="0092318E">
              <w:rPr>
                <w:webHidden/>
              </w:rPr>
              <w:fldChar w:fldCharType="begin"/>
            </w:r>
            <w:r w:rsidR="0092318E">
              <w:rPr>
                <w:webHidden/>
              </w:rPr>
              <w:instrText xml:space="preserve"> PAGEREF _Toc341866702 \h </w:instrText>
            </w:r>
            <w:r w:rsidR="0092318E">
              <w:rPr>
                <w:webHidden/>
              </w:rPr>
            </w:r>
            <w:r w:rsidR="0092318E">
              <w:rPr>
                <w:webHidden/>
              </w:rPr>
              <w:fldChar w:fldCharType="separate"/>
            </w:r>
            <w:r w:rsidR="0092318E">
              <w:rPr>
                <w:webHidden/>
              </w:rPr>
              <w:t>4</w:t>
            </w:r>
            <w:r w:rsidR="0092318E">
              <w:rPr>
                <w:webHidden/>
              </w:rPr>
              <w:fldChar w:fldCharType="end"/>
            </w:r>
          </w:hyperlink>
        </w:p>
        <w:p w:rsidR="0092318E" w:rsidRDefault="0092318E">
          <w:pPr>
            <w:pStyle w:val="TDC2"/>
            <w:tabs>
              <w:tab w:val="left" w:pos="880"/>
              <w:tab w:val="right" w:leader="dot" w:pos="8828"/>
            </w:tabs>
            <w:rPr>
              <w:noProof/>
            </w:rPr>
          </w:pPr>
          <w:hyperlink w:anchor="_Toc341866703" w:history="1">
            <w:r w:rsidRPr="008A5CDD">
              <w:rPr>
                <w:rStyle w:val="Hipervnculo"/>
                <w:noProof/>
              </w:rPr>
              <w:t>1.1.</w:t>
            </w:r>
            <w:r>
              <w:rPr>
                <w:noProof/>
              </w:rPr>
              <w:tab/>
            </w:r>
            <w:r w:rsidRPr="008A5CDD">
              <w:rPr>
                <w:rStyle w:val="Hipervnculo"/>
                <w:noProof/>
              </w:rPr>
              <w:t>Objeto de la Ley Nº 20.330</w:t>
            </w:r>
            <w:r>
              <w:rPr>
                <w:noProof/>
                <w:webHidden/>
              </w:rPr>
              <w:tab/>
            </w:r>
            <w:r>
              <w:rPr>
                <w:noProof/>
                <w:webHidden/>
              </w:rPr>
              <w:fldChar w:fldCharType="begin"/>
            </w:r>
            <w:r>
              <w:rPr>
                <w:noProof/>
                <w:webHidden/>
              </w:rPr>
              <w:instrText xml:space="preserve"> PAGEREF _Toc341866703 \h </w:instrText>
            </w:r>
            <w:r>
              <w:rPr>
                <w:noProof/>
                <w:webHidden/>
              </w:rPr>
            </w:r>
            <w:r>
              <w:rPr>
                <w:noProof/>
                <w:webHidden/>
              </w:rPr>
              <w:fldChar w:fldCharType="separate"/>
            </w:r>
            <w:r>
              <w:rPr>
                <w:noProof/>
                <w:webHidden/>
              </w:rPr>
              <w:t>4</w:t>
            </w:r>
            <w:r>
              <w:rPr>
                <w:noProof/>
                <w:webHidden/>
              </w:rPr>
              <w:fldChar w:fldCharType="end"/>
            </w:r>
          </w:hyperlink>
        </w:p>
        <w:p w:rsidR="0092318E" w:rsidRDefault="0092318E">
          <w:pPr>
            <w:pStyle w:val="TDC2"/>
            <w:tabs>
              <w:tab w:val="left" w:pos="880"/>
              <w:tab w:val="right" w:leader="dot" w:pos="8828"/>
            </w:tabs>
            <w:rPr>
              <w:noProof/>
            </w:rPr>
          </w:pPr>
          <w:hyperlink w:anchor="_Toc341866704" w:history="1">
            <w:r w:rsidRPr="008A5CDD">
              <w:rPr>
                <w:rStyle w:val="Hipervnculo"/>
                <w:noProof/>
              </w:rPr>
              <w:t>1.2.</w:t>
            </w:r>
            <w:r>
              <w:rPr>
                <w:noProof/>
              </w:rPr>
              <w:tab/>
            </w:r>
            <w:r w:rsidRPr="008A5CDD">
              <w:rPr>
                <w:rStyle w:val="Hipervnculo"/>
                <w:noProof/>
              </w:rPr>
              <w:t>Contenidos generales de la Ley Nº 20.330</w:t>
            </w:r>
            <w:r>
              <w:rPr>
                <w:noProof/>
                <w:webHidden/>
              </w:rPr>
              <w:tab/>
            </w:r>
            <w:r>
              <w:rPr>
                <w:noProof/>
                <w:webHidden/>
              </w:rPr>
              <w:fldChar w:fldCharType="begin"/>
            </w:r>
            <w:r>
              <w:rPr>
                <w:noProof/>
                <w:webHidden/>
              </w:rPr>
              <w:instrText xml:space="preserve"> PAGEREF _Toc341866704 \h </w:instrText>
            </w:r>
            <w:r>
              <w:rPr>
                <w:noProof/>
                <w:webHidden/>
              </w:rPr>
            </w:r>
            <w:r>
              <w:rPr>
                <w:noProof/>
                <w:webHidden/>
              </w:rPr>
              <w:fldChar w:fldCharType="separate"/>
            </w:r>
            <w:r>
              <w:rPr>
                <w:noProof/>
                <w:webHidden/>
              </w:rPr>
              <w:t>4</w:t>
            </w:r>
            <w:r>
              <w:rPr>
                <w:noProof/>
                <w:webHidden/>
              </w:rPr>
              <w:fldChar w:fldCharType="end"/>
            </w:r>
          </w:hyperlink>
        </w:p>
        <w:p w:rsidR="0092318E" w:rsidRDefault="0092318E">
          <w:pPr>
            <w:pStyle w:val="TDC1"/>
            <w:rPr>
              <w:b w:val="0"/>
            </w:rPr>
          </w:pPr>
          <w:hyperlink w:anchor="_Toc341866705" w:history="1">
            <w:r w:rsidRPr="008A5CDD">
              <w:rPr>
                <w:rStyle w:val="Hipervnculo"/>
              </w:rPr>
              <w:t>2.</w:t>
            </w:r>
            <w:r>
              <w:rPr>
                <w:b w:val="0"/>
              </w:rPr>
              <w:tab/>
            </w:r>
            <w:r w:rsidRPr="008A5CDD">
              <w:rPr>
                <w:rStyle w:val="Hipervnculo"/>
              </w:rPr>
              <w:t>ESTA EVALUACIÓN</w:t>
            </w:r>
            <w:r>
              <w:rPr>
                <w:webHidden/>
              </w:rPr>
              <w:tab/>
            </w:r>
            <w:r>
              <w:rPr>
                <w:webHidden/>
              </w:rPr>
              <w:fldChar w:fldCharType="begin"/>
            </w:r>
            <w:r>
              <w:rPr>
                <w:webHidden/>
              </w:rPr>
              <w:instrText xml:space="preserve"> PAGEREF _Toc341866705 \h </w:instrText>
            </w:r>
            <w:r>
              <w:rPr>
                <w:webHidden/>
              </w:rPr>
            </w:r>
            <w:r>
              <w:rPr>
                <w:webHidden/>
              </w:rPr>
              <w:fldChar w:fldCharType="separate"/>
            </w:r>
            <w:r>
              <w:rPr>
                <w:webHidden/>
              </w:rPr>
              <w:t>6</w:t>
            </w:r>
            <w:r>
              <w:rPr>
                <w:webHidden/>
              </w:rPr>
              <w:fldChar w:fldCharType="end"/>
            </w:r>
          </w:hyperlink>
        </w:p>
        <w:p w:rsidR="0092318E" w:rsidRDefault="0092318E">
          <w:pPr>
            <w:pStyle w:val="TDC2"/>
            <w:tabs>
              <w:tab w:val="left" w:pos="880"/>
              <w:tab w:val="right" w:leader="dot" w:pos="8828"/>
            </w:tabs>
            <w:rPr>
              <w:noProof/>
            </w:rPr>
          </w:pPr>
          <w:hyperlink w:anchor="_Toc341866706" w:history="1">
            <w:r w:rsidRPr="008A5CDD">
              <w:rPr>
                <w:rStyle w:val="Hipervnculo"/>
                <w:noProof/>
              </w:rPr>
              <w:t>2.1.</w:t>
            </w:r>
            <w:r>
              <w:rPr>
                <w:noProof/>
              </w:rPr>
              <w:tab/>
            </w:r>
            <w:r w:rsidRPr="008A5CDD">
              <w:rPr>
                <w:rStyle w:val="Hipervnculo"/>
                <w:noProof/>
              </w:rPr>
              <w:t>Objetivo general de este estudio</w:t>
            </w:r>
            <w:r>
              <w:rPr>
                <w:noProof/>
                <w:webHidden/>
              </w:rPr>
              <w:tab/>
            </w:r>
            <w:r>
              <w:rPr>
                <w:noProof/>
                <w:webHidden/>
              </w:rPr>
              <w:fldChar w:fldCharType="begin"/>
            </w:r>
            <w:r>
              <w:rPr>
                <w:noProof/>
                <w:webHidden/>
              </w:rPr>
              <w:instrText xml:space="preserve"> PAGEREF _Toc341866706 \h </w:instrText>
            </w:r>
            <w:r>
              <w:rPr>
                <w:noProof/>
                <w:webHidden/>
              </w:rPr>
            </w:r>
            <w:r>
              <w:rPr>
                <w:noProof/>
                <w:webHidden/>
              </w:rPr>
              <w:fldChar w:fldCharType="separate"/>
            </w:r>
            <w:r>
              <w:rPr>
                <w:noProof/>
                <w:webHidden/>
              </w:rPr>
              <w:t>7</w:t>
            </w:r>
            <w:r>
              <w:rPr>
                <w:noProof/>
                <w:webHidden/>
              </w:rPr>
              <w:fldChar w:fldCharType="end"/>
            </w:r>
          </w:hyperlink>
        </w:p>
        <w:p w:rsidR="0092318E" w:rsidRDefault="0092318E">
          <w:pPr>
            <w:pStyle w:val="TDC2"/>
            <w:tabs>
              <w:tab w:val="left" w:pos="880"/>
              <w:tab w:val="right" w:leader="dot" w:pos="8828"/>
            </w:tabs>
            <w:rPr>
              <w:noProof/>
            </w:rPr>
          </w:pPr>
          <w:hyperlink w:anchor="_Toc341866707" w:history="1">
            <w:r w:rsidRPr="008A5CDD">
              <w:rPr>
                <w:rStyle w:val="Hipervnculo"/>
                <w:noProof/>
              </w:rPr>
              <w:t>2.2.</w:t>
            </w:r>
            <w:r>
              <w:rPr>
                <w:noProof/>
              </w:rPr>
              <w:tab/>
            </w:r>
            <w:r w:rsidRPr="008A5CDD">
              <w:rPr>
                <w:rStyle w:val="Hipervnculo"/>
                <w:noProof/>
              </w:rPr>
              <w:t>Objetivos específicos y variables asociadas</w:t>
            </w:r>
            <w:r>
              <w:rPr>
                <w:noProof/>
                <w:webHidden/>
              </w:rPr>
              <w:tab/>
            </w:r>
            <w:r>
              <w:rPr>
                <w:noProof/>
                <w:webHidden/>
              </w:rPr>
              <w:fldChar w:fldCharType="begin"/>
            </w:r>
            <w:r>
              <w:rPr>
                <w:noProof/>
                <w:webHidden/>
              </w:rPr>
              <w:instrText xml:space="preserve"> PAGEREF _Toc341866707 \h </w:instrText>
            </w:r>
            <w:r>
              <w:rPr>
                <w:noProof/>
                <w:webHidden/>
              </w:rPr>
            </w:r>
            <w:r>
              <w:rPr>
                <w:noProof/>
                <w:webHidden/>
              </w:rPr>
              <w:fldChar w:fldCharType="separate"/>
            </w:r>
            <w:r>
              <w:rPr>
                <w:noProof/>
                <w:webHidden/>
              </w:rPr>
              <w:t>7</w:t>
            </w:r>
            <w:r>
              <w:rPr>
                <w:noProof/>
                <w:webHidden/>
              </w:rPr>
              <w:fldChar w:fldCharType="end"/>
            </w:r>
          </w:hyperlink>
        </w:p>
        <w:p w:rsidR="0092318E" w:rsidRDefault="0092318E">
          <w:pPr>
            <w:pStyle w:val="TDC2"/>
            <w:tabs>
              <w:tab w:val="left" w:pos="880"/>
              <w:tab w:val="right" w:leader="dot" w:pos="8828"/>
            </w:tabs>
            <w:rPr>
              <w:noProof/>
            </w:rPr>
          </w:pPr>
          <w:hyperlink w:anchor="_Toc341866708" w:history="1">
            <w:r w:rsidRPr="008A5CDD">
              <w:rPr>
                <w:rStyle w:val="Hipervnculo"/>
                <w:noProof/>
              </w:rPr>
              <w:t>2.3.</w:t>
            </w:r>
            <w:r>
              <w:rPr>
                <w:noProof/>
              </w:rPr>
              <w:tab/>
            </w:r>
            <w:r w:rsidRPr="008A5CDD">
              <w:rPr>
                <w:rStyle w:val="Hipervnculo"/>
                <w:noProof/>
              </w:rPr>
              <w:t>Metodología</w:t>
            </w:r>
            <w:r>
              <w:rPr>
                <w:noProof/>
                <w:webHidden/>
              </w:rPr>
              <w:tab/>
            </w:r>
            <w:r>
              <w:rPr>
                <w:noProof/>
                <w:webHidden/>
              </w:rPr>
              <w:fldChar w:fldCharType="begin"/>
            </w:r>
            <w:r>
              <w:rPr>
                <w:noProof/>
                <w:webHidden/>
              </w:rPr>
              <w:instrText xml:space="preserve"> PAGEREF _Toc341866708 \h </w:instrText>
            </w:r>
            <w:r>
              <w:rPr>
                <w:noProof/>
                <w:webHidden/>
              </w:rPr>
            </w:r>
            <w:r>
              <w:rPr>
                <w:noProof/>
                <w:webHidden/>
              </w:rPr>
              <w:fldChar w:fldCharType="separate"/>
            </w:r>
            <w:r>
              <w:rPr>
                <w:noProof/>
                <w:webHidden/>
              </w:rPr>
              <w:t>8</w:t>
            </w:r>
            <w:r>
              <w:rPr>
                <w:noProof/>
                <w:webHidden/>
              </w:rPr>
              <w:fldChar w:fldCharType="end"/>
            </w:r>
          </w:hyperlink>
        </w:p>
        <w:p w:rsidR="0092318E" w:rsidRDefault="0092318E">
          <w:pPr>
            <w:pStyle w:val="TDC1"/>
            <w:rPr>
              <w:b w:val="0"/>
            </w:rPr>
          </w:pPr>
          <w:hyperlink w:anchor="_Toc341866709" w:history="1">
            <w:r w:rsidRPr="008A5CDD">
              <w:rPr>
                <w:rStyle w:val="Hipervnculo"/>
              </w:rPr>
              <w:t>3.</w:t>
            </w:r>
            <w:r>
              <w:rPr>
                <w:b w:val="0"/>
              </w:rPr>
              <w:tab/>
            </w:r>
            <w:r w:rsidRPr="008A5CDD">
              <w:rPr>
                <w:rStyle w:val="Hipervnculo"/>
              </w:rPr>
              <w:t>INSTITUCIONALIDAD Y PROCESOS</w:t>
            </w:r>
            <w:r>
              <w:rPr>
                <w:webHidden/>
              </w:rPr>
              <w:tab/>
            </w:r>
            <w:r>
              <w:rPr>
                <w:webHidden/>
              </w:rPr>
              <w:fldChar w:fldCharType="begin"/>
            </w:r>
            <w:r>
              <w:rPr>
                <w:webHidden/>
              </w:rPr>
              <w:instrText xml:space="preserve"> PAGEREF _Toc341866709 \h </w:instrText>
            </w:r>
            <w:r>
              <w:rPr>
                <w:webHidden/>
              </w:rPr>
            </w:r>
            <w:r>
              <w:rPr>
                <w:webHidden/>
              </w:rPr>
              <w:fldChar w:fldCharType="separate"/>
            </w:r>
            <w:r>
              <w:rPr>
                <w:webHidden/>
              </w:rPr>
              <w:t>10</w:t>
            </w:r>
            <w:r>
              <w:rPr>
                <w:webHidden/>
              </w:rPr>
              <w:fldChar w:fldCharType="end"/>
            </w:r>
          </w:hyperlink>
        </w:p>
        <w:p w:rsidR="0092318E" w:rsidRDefault="0092318E">
          <w:pPr>
            <w:pStyle w:val="TDC2"/>
            <w:tabs>
              <w:tab w:val="left" w:pos="880"/>
              <w:tab w:val="right" w:leader="dot" w:pos="8828"/>
            </w:tabs>
            <w:rPr>
              <w:noProof/>
            </w:rPr>
          </w:pPr>
          <w:hyperlink w:anchor="_Toc341866710" w:history="1">
            <w:r w:rsidRPr="008A5CDD">
              <w:rPr>
                <w:rStyle w:val="Hipervnculo"/>
                <w:noProof/>
              </w:rPr>
              <w:t>3.1.</w:t>
            </w:r>
            <w:r>
              <w:rPr>
                <w:noProof/>
              </w:rPr>
              <w:tab/>
            </w:r>
            <w:r w:rsidRPr="008A5CDD">
              <w:rPr>
                <w:rStyle w:val="Hipervnculo"/>
                <w:noProof/>
              </w:rPr>
              <w:t>Estructura institucional, nivel nacional</w:t>
            </w:r>
            <w:r>
              <w:rPr>
                <w:noProof/>
                <w:webHidden/>
              </w:rPr>
              <w:tab/>
            </w:r>
            <w:r>
              <w:rPr>
                <w:noProof/>
                <w:webHidden/>
              </w:rPr>
              <w:fldChar w:fldCharType="begin"/>
            </w:r>
            <w:r>
              <w:rPr>
                <w:noProof/>
                <w:webHidden/>
              </w:rPr>
              <w:instrText xml:space="preserve"> PAGEREF _Toc341866710 \h </w:instrText>
            </w:r>
            <w:r>
              <w:rPr>
                <w:noProof/>
                <w:webHidden/>
              </w:rPr>
            </w:r>
            <w:r>
              <w:rPr>
                <w:noProof/>
                <w:webHidden/>
              </w:rPr>
              <w:fldChar w:fldCharType="separate"/>
            </w:r>
            <w:r>
              <w:rPr>
                <w:noProof/>
                <w:webHidden/>
              </w:rPr>
              <w:t>10</w:t>
            </w:r>
            <w:r>
              <w:rPr>
                <w:noProof/>
                <w:webHidden/>
              </w:rPr>
              <w:fldChar w:fldCharType="end"/>
            </w:r>
          </w:hyperlink>
        </w:p>
        <w:p w:rsidR="0092318E" w:rsidRDefault="0092318E">
          <w:pPr>
            <w:pStyle w:val="TDC2"/>
            <w:tabs>
              <w:tab w:val="left" w:pos="880"/>
              <w:tab w:val="right" w:leader="dot" w:pos="8828"/>
            </w:tabs>
            <w:rPr>
              <w:noProof/>
            </w:rPr>
          </w:pPr>
          <w:hyperlink w:anchor="_Toc341866711" w:history="1">
            <w:r w:rsidRPr="008A5CDD">
              <w:rPr>
                <w:rStyle w:val="Hipervnculo"/>
                <w:noProof/>
              </w:rPr>
              <w:t>3.2.</w:t>
            </w:r>
            <w:r>
              <w:rPr>
                <w:noProof/>
              </w:rPr>
              <w:tab/>
            </w:r>
            <w:r w:rsidRPr="008A5CDD">
              <w:rPr>
                <w:rStyle w:val="Hipervnculo"/>
                <w:noProof/>
              </w:rPr>
              <w:t>Estructura institucional, nivel regional</w:t>
            </w:r>
            <w:r>
              <w:rPr>
                <w:noProof/>
                <w:webHidden/>
              </w:rPr>
              <w:tab/>
            </w:r>
            <w:r>
              <w:rPr>
                <w:noProof/>
                <w:webHidden/>
              </w:rPr>
              <w:fldChar w:fldCharType="begin"/>
            </w:r>
            <w:r>
              <w:rPr>
                <w:noProof/>
                <w:webHidden/>
              </w:rPr>
              <w:instrText xml:space="preserve"> PAGEREF _Toc341866711 \h </w:instrText>
            </w:r>
            <w:r>
              <w:rPr>
                <w:noProof/>
                <w:webHidden/>
              </w:rPr>
            </w:r>
            <w:r>
              <w:rPr>
                <w:noProof/>
                <w:webHidden/>
              </w:rPr>
              <w:fldChar w:fldCharType="separate"/>
            </w:r>
            <w:r>
              <w:rPr>
                <w:noProof/>
                <w:webHidden/>
              </w:rPr>
              <w:t>12</w:t>
            </w:r>
            <w:r>
              <w:rPr>
                <w:noProof/>
                <w:webHidden/>
              </w:rPr>
              <w:fldChar w:fldCharType="end"/>
            </w:r>
          </w:hyperlink>
        </w:p>
        <w:p w:rsidR="0092318E" w:rsidRDefault="0092318E">
          <w:pPr>
            <w:pStyle w:val="TDC2"/>
            <w:tabs>
              <w:tab w:val="left" w:pos="880"/>
              <w:tab w:val="right" w:leader="dot" w:pos="8828"/>
            </w:tabs>
            <w:rPr>
              <w:noProof/>
            </w:rPr>
          </w:pPr>
          <w:hyperlink w:anchor="_Toc341866712" w:history="1">
            <w:r w:rsidRPr="008A5CDD">
              <w:rPr>
                <w:rStyle w:val="Hipervnculo"/>
                <w:noProof/>
              </w:rPr>
              <w:t>3.3.</w:t>
            </w:r>
            <w:r>
              <w:rPr>
                <w:noProof/>
              </w:rPr>
              <w:tab/>
            </w:r>
            <w:r w:rsidRPr="008A5CDD">
              <w:rPr>
                <w:rStyle w:val="Hipervnculo"/>
                <w:noProof/>
              </w:rPr>
              <w:t>Procesos de postulación y selección</w:t>
            </w:r>
            <w:r>
              <w:rPr>
                <w:noProof/>
                <w:webHidden/>
              </w:rPr>
              <w:tab/>
            </w:r>
            <w:r>
              <w:rPr>
                <w:noProof/>
                <w:webHidden/>
              </w:rPr>
              <w:fldChar w:fldCharType="begin"/>
            </w:r>
            <w:r>
              <w:rPr>
                <w:noProof/>
                <w:webHidden/>
              </w:rPr>
              <w:instrText xml:space="preserve"> PAGEREF _Toc341866712 \h </w:instrText>
            </w:r>
            <w:r>
              <w:rPr>
                <w:noProof/>
                <w:webHidden/>
              </w:rPr>
            </w:r>
            <w:r>
              <w:rPr>
                <w:noProof/>
                <w:webHidden/>
              </w:rPr>
              <w:fldChar w:fldCharType="separate"/>
            </w:r>
            <w:r>
              <w:rPr>
                <w:noProof/>
                <w:webHidden/>
              </w:rPr>
              <w:t>13</w:t>
            </w:r>
            <w:r>
              <w:rPr>
                <w:noProof/>
                <w:webHidden/>
              </w:rPr>
              <w:fldChar w:fldCharType="end"/>
            </w:r>
          </w:hyperlink>
        </w:p>
        <w:p w:rsidR="0092318E" w:rsidRDefault="0092318E">
          <w:pPr>
            <w:pStyle w:val="TDC2"/>
            <w:tabs>
              <w:tab w:val="left" w:pos="880"/>
              <w:tab w:val="right" w:leader="dot" w:pos="8828"/>
            </w:tabs>
            <w:rPr>
              <w:noProof/>
            </w:rPr>
          </w:pPr>
          <w:hyperlink w:anchor="_Toc341866713" w:history="1">
            <w:r w:rsidRPr="008A5CDD">
              <w:rPr>
                <w:rStyle w:val="Hipervnculo"/>
                <w:noProof/>
              </w:rPr>
              <w:t>3.4.</w:t>
            </w:r>
            <w:r>
              <w:rPr>
                <w:noProof/>
              </w:rPr>
              <w:tab/>
            </w:r>
            <w:r w:rsidRPr="008A5CDD">
              <w:rPr>
                <w:rStyle w:val="Hipervnculo"/>
                <w:noProof/>
              </w:rPr>
              <w:t>Accesibilidad física y remota a servicios de la ley</w:t>
            </w:r>
            <w:r>
              <w:rPr>
                <w:noProof/>
                <w:webHidden/>
              </w:rPr>
              <w:tab/>
            </w:r>
            <w:r>
              <w:rPr>
                <w:noProof/>
                <w:webHidden/>
              </w:rPr>
              <w:fldChar w:fldCharType="begin"/>
            </w:r>
            <w:r>
              <w:rPr>
                <w:noProof/>
                <w:webHidden/>
              </w:rPr>
              <w:instrText xml:space="preserve"> PAGEREF _Toc341866713 \h </w:instrText>
            </w:r>
            <w:r>
              <w:rPr>
                <w:noProof/>
                <w:webHidden/>
              </w:rPr>
            </w:r>
            <w:r>
              <w:rPr>
                <w:noProof/>
                <w:webHidden/>
              </w:rPr>
              <w:fldChar w:fldCharType="separate"/>
            </w:r>
            <w:r>
              <w:rPr>
                <w:noProof/>
                <w:webHidden/>
              </w:rPr>
              <w:t>16</w:t>
            </w:r>
            <w:r>
              <w:rPr>
                <w:noProof/>
                <w:webHidden/>
              </w:rPr>
              <w:fldChar w:fldCharType="end"/>
            </w:r>
          </w:hyperlink>
        </w:p>
        <w:p w:rsidR="0092318E" w:rsidRDefault="0092318E">
          <w:pPr>
            <w:pStyle w:val="TDC2"/>
            <w:tabs>
              <w:tab w:val="left" w:pos="880"/>
              <w:tab w:val="right" w:leader="dot" w:pos="8828"/>
            </w:tabs>
            <w:rPr>
              <w:noProof/>
            </w:rPr>
          </w:pPr>
          <w:hyperlink w:anchor="_Toc341866714" w:history="1">
            <w:r w:rsidRPr="008A5CDD">
              <w:rPr>
                <w:rStyle w:val="Hipervnculo"/>
                <w:noProof/>
              </w:rPr>
              <w:t>3.5.</w:t>
            </w:r>
            <w:r>
              <w:rPr>
                <w:noProof/>
              </w:rPr>
              <w:tab/>
            </w:r>
            <w:r w:rsidRPr="008A5CDD">
              <w:rPr>
                <w:rStyle w:val="Hipervnculo"/>
                <w:noProof/>
              </w:rPr>
              <w:t>Registro de instituciones receptoras</w:t>
            </w:r>
            <w:r>
              <w:rPr>
                <w:noProof/>
                <w:webHidden/>
              </w:rPr>
              <w:tab/>
            </w:r>
            <w:r>
              <w:rPr>
                <w:noProof/>
                <w:webHidden/>
              </w:rPr>
              <w:fldChar w:fldCharType="begin"/>
            </w:r>
            <w:r>
              <w:rPr>
                <w:noProof/>
                <w:webHidden/>
              </w:rPr>
              <w:instrText xml:space="preserve"> PAGEREF _Toc341866714 \h </w:instrText>
            </w:r>
            <w:r>
              <w:rPr>
                <w:noProof/>
                <w:webHidden/>
              </w:rPr>
            </w:r>
            <w:r>
              <w:rPr>
                <w:noProof/>
                <w:webHidden/>
              </w:rPr>
              <w:fldChar w:fldCharType="separate"/>
            </w:r>
            <w:r>
              <w:rPr>
                <w:noProof/>
                <w:webHidden/>
              </w:rPr>
              <w:t>16</w:t>
            </w:r>
            <w:r>
              <w:rPr>
                <w:noProof/>
                <w:webHidden/>
              </w:rPr>
              <w:fldChar w:fldCharType="end"/>
            </w:r>
          </w:hyperlink>
        </w:p>
        <w:p w:rsidR="0092318E" w:rsidRDefault="0092318E">
          <w:pPr>
            <w:pStyle w:val="TDC2"/>
            <w:tabs>
              <w:tab w:val="left" w:pos="880"/>
              <w:tab w:val="right" w:leader="dot" w:pos="8828"/>
            </w:tabs>
            <w:rPr>
              <w:noProof/>
            </w:rPr>
          </w:pPr>
          <w:hyperlink w:anchor="_Toc341866715" w:history="1">
            <w:r w:rsidRPr="008A5CDD">
              <w:rPr>
                <w:rStyle w:val="Hipervnculo"/>
                <w:noProof/>
              </w:rPr>
              <w:t>3.6.</w:t>
            </w:r>
            <w:r>
              <w:rPr>
                <w:noProof/>
              </w:rPr>
              <w:tab/>
            </w:r>
            <w:r w:rsidRPr="008A5CDD">
              <w:rPr>
                <w:rStyle w:val="Hipervnculo"/>
                <w:noProof/>
              </w:rPr>
              <w:t>Acceso a la información respecto a la ley y su aplicación</w:t>
            </w:r>
            <w:r>
              <w:rPr>
                <w:noProof/>
                <w:webHidden/>
              </w:rPr>
              <w:tab/>
            </w:r>
            <w:r>
              <w:rPr>
                <w:noProof/>
                <w:webHidden/>
              </w:rPr>
              <w:fldChar w:fldCharType="begin"/>
            </w:r>
            <w:r>
              <w:rPr>
                <w:noProof/>
                <w:webHidden/>
              </w:rPr>
              <w:instrText xml:space="preserve"> PAGEREF _Toc341866715 \h </w:instrText>
            </w:r>
            <w:r>
              <w:rPr>
                <w:noProof/>
                <w:webHidden/>
              </w:rPr>
            </w:r>
            <w:r>
              <w:rPr>
                <w:noProof/>
                <w:webHidden/>
              </w:rPr>
              <w:fldChar w:fldCharType="separate"/>
            </w:r>
            <w:r>
              <w:rPr>
                <w:noProof/>
                <w:webHidden/>
              </w:rPr>
              <w:t>16</w:t>
            </w:r>
            <w:r>
              <w:rPr>
                <w:noProof/>
                <w:webHidden/>
              </w:rPr>
              <w:fldChar w:fldCharType="end"/>
            </w:r>
          </w:hyperlink>
        </w:p>
        <w:p w:rsidR="0092318E" w:rsidRDefault="0092318E">
          <w:pPr>
            <w:pStyle w:val="TDC2"/>
            <w:tabs>
              <w:tab w:val="left" w:pos="880"/>
              <w:tab w:val="right" w:leader="dot" w:pos="8828"/>
            </w:tabs>
            <w:rPr>
              <w:noProof/>
            </w:rPr>
          </w:pPr>
          <w:hyperlink w:anchor="_Toc341866716" w:history="1">
            <w:r w:rsidRPr="008A5CDD">
              <w:rPr>
                <w:rStyle w:val="Hipervnculo"/>
                <w:noProof/>
              </w:rPr>
              <w:t>3.7.</w:t>
            </w:r>
            <w:r>
              <w:rPr>
                <w:noProof/>
              </w:rPr>
              <w:tab/>
            </w:r>
            <w:r w:rsidRPr="008A5CDD">
              <w:rPr>
                <w:rStyle w:val="Hipervnculo"/>
                <w:noProof/>
              </w:rPr>
              <w:t>Difusión de la existencia del beneficio</w:t>
            </w:r>
            <w:r>
              <w:rPr>
                <w:noProof/>
                <w:webHidden/>
              </w:rPr>
              <w:tab/>
            </w:r>
            <w:r>
              <w:rPr>
                <w:noProof/>
                <w:webHidden/>
              </w:rPr>
              <w:fldChar w:fldCharType="begin"/>
            </w:r>
            <w:r>
              <w:rPr>
                <w:noProof/>
                <w:webHidden/>
              </w:rPr>
              <w:instrText xml:space="preserve"> PAGEREF _Toc341866716 \h </w:instrText>
            </w:r>
            <w:r>
              <w:rPr>
                <w:noProof/>
                <w:webHidden/>
              </w:rPr>
            </w:r>
            <w:r>
              <w:rPr>
                <w:noProof/>
                <w:webHidden/>
              </w:rPr>
              <w:fldChar w:fldCharType="separate"/>
            </w:r>
            <w:r>
              <w:rPr>
                <w:noProof/>
                <w:webHidden/>
              </w:rPr>
              <w:t>17</w:t>
            </w:r>
            <w:r>
              <w:rPr>
                <w:noProof/>
                <w:webHidden/>
              </w:rPr>
              <w:fldChar w:fldCharType="end"/>
            </w:r>
          </w:hyperlink>
        </w:p>
        <w:p w:rsidR="0092318E" w:rsidRDefault="0092318E">
          <w:pPr>
            <w:pStyle w:val="TDC2"/>
            <w:tabs>
              <w:tab w:val="left" w:pos="880"/>
              <w:tab w:val="right" w:leader="dot" w:pos="8828"/>
            </w:tabs>
            <w:rPr>
              <w:noProof/>
            </w:rPr>
          </w:pPr>
          <w:hyperlink w:anchor="_Toc341866717" w:history="1">
            <w:r w:rsidRPr="008A5CDD">
              <w:rPr>
                <w:rStyle w:val="Hipervnculo"/>
                <w:noProof/>
              </w:rPr>
              <w:t>3.8.</w:t>
            </w:r>
            <w:r>
              <w:rPr>
                <w:noProof/>
              </w:rPr>
              <w:tab/>
            </w:r>
            <w:r w:rsidRPr="008A5CDD">
              <w:rPr>
                <w:rStyle w:val="Hipervnculo"/>
                <w:noProof/>
              </w:rPr>
              <w:t>Acceso laboral a potenciales instituciones receptoras</w:t>
            </w:r>
            <w:r>
              <w:rPr>
                <w:noProof/>
                <w:webHidden/>
              </w:rPr>
              <w:tab/>
            </w:r>
            <w:r>
              <w:rPr>
                <w:noProof/>
                <w:webHidden/>
              </w:rPr>
              <w:fldChar w:fldCharType="begin"/>
            </w:r>
            <w:r>
              <w:rPr>
                <w:noProof/>
                <w:webHidden/>
              </w:rPr>
              <w:instrText xml:space="preserve"> PAGEREF _Toc341866717 \h </w:instrText>
            </w:r>
            <w:r>
              <w:rPr>
                <w:noProof/>
                <w:webHidden/>
              </w:rPr>
            </w:r>
            <w:r>
              <w:rPr>
                <w:noProof/>
                <w:webHidden/>
              </w:rPr>
              <w:fldChar w:fldCharType="separate"/>
            </w:r>
            <w:r>
              <w:rPr>
                <w:noProof/>
                <w:webHidden/>
              </w:rPr>
              <w:t>18</w:t>
            </w:r>
            <w:r>
              <w:rPr>
                <w:noProof/>
                <w:webHidden/>
              </w:rPr>
              <w:fldChar w:fldCharType="end"/>
            </w:r>
          </w:hyperlink>
        </w:p>
        <w:p w:rsidR="0092318E" w:rsidRDefault="0092318E">
          <w:pPr>
            <w:pStyle w:val="TDC1"/>
            <w:rPr>
              <w:b w:val="0"/>
            </w:rPr>
          </w:pPr>
          <w:hyperlink w:anchor="_Toc341866718" w:history="1">
            <w:r w:rsidRPr="008A5CDD">
              <w:rPr>
                <w:rStyle w:val="Hipervnculo"/>
              </w:rPr>
              <w:t>4.</w:t>
            </w:r>
            <w:r>
              <w:rPr>
                <w:b w:val="0"/>
              </w:rPr>
              <w:tab/>
            </w:r>
            <w:r w:rsidRPr="008A5CDD">
              <w:rPr>
                <w:rStyle w:val="Hipervnculo"/>
              </w:rPr>
              <w:t>SATISFACCIÓN DE BENEFICIARIOS</w:t>
            </w:r>
            <w:r>
              <w:rPr>
                <w:webHidden/>
              </w:rPr>
              <w:tab/>
            </w:r>
            <w:r>
              <w:rPr>
                <w:webHidden/>
              </w:rPr>
              <w:fldChar w:fldCharType="begin"/>
            </w:r>
            <w:r>
              <w:rPr>
                <w:webHidden/>
              </w:rPr>
              <w:instrText xml:space="preserve"> PAGEREF _Toc341866718 \h </w:instrText>
            </w:r>
            <w:r>
              <w:rPr>
                <w:webHidden/>
              </w:rPr>
            </w:r>
            <w:r>
              <w:rPr>
                <w:webHidden/>
              </w:rPr>
              <w:fldChar w:fldCharType="separate"/>
            </w:r>
            <w:r>
              <w:rPr>
                <w:webHidden/>
              </w:rPr>
              <w:t>19</w:t>
            </w:r>
            <w:r>
              <w:rPr>
                <w:webHidden/>
              </w:rPr>
              <w:fldChar w:fldCharType="end"/>
            </w:r>
          </w:hyperlink>
        </w:p>
        <w:p w:rsidR="0092318E" w:rsidRDefault="0092318E">
          <w:pPr>
            <w:pStyle w:val="TDC2"/>
            <w:tabs>
              <w:tab w:val="left" w:pos="880"/>
              <w:tab w:val="right" w:leader="dot" w:pos="8828"/>
            </w:tabs>
            <w:rPr>
              <w:noProof/>
            </w:rPr>
          </w:pPr>
          <w:hyperlink w:anchor="_Toc341866719" w:history="1">
            <w:r w:rsidRPr="008A5CDD">
              <w:rPr>
                <w:rStyle w:val="Hipervnculo"/>
                <w:noProof/>
              </w:rPr>
              <w:t>4.1.</w:t>
            </w:r>
            <w:r>
              <w:rPr>
                <w:noProof/>
              </w:rPr>
              <w:tab/>
            </w:r>
            <w:r w:rsidRPr="008A5CDD">
              <w:rPr>
                <w:rStyle w:val="Hipervnculo"/>
                <w:noProof/>
              </w:rPr>
              <w:t>Aportes generales de la ley</w:t>
            </w:r>
            <w:r>
              <w:rPr>
                <w:noProof/>
                <w:webHidden/>
              </w:rPr>
              <w:tab/>
            </w:r>
            <w:r>
              <w:rPr>
                <w:noProof/>
                <w:webHidden/>
              </w:rPr>
              <w:fldChar w:fldCharType="begin"/>
            </w:r>
            <w:r>
              <w:rPr>
                <w:noProof/>
                <w:webHidden/>
              </w:rPr>
              <w:instrText xml:space="preserve"> PAGEREF _Toc341866719 \h </w:instrText>
            </w:r>
            <w:r>
              <w:rPr>
                <w:noProof/>
                <w:webHidden/>
              </w:rPr>
            </w:r>
            <w:r>
              <w:rPr>
                <w:noProof/>
                <w:webHidden/>
              </w:rPr>
              <w:fldChar w:fldCharType="separate"/>
            </w:r>
            <w:r>
              <w:rPr>
                <w:noProof/>
                <w:webHidden/>
              </w:rPr>
              <w:t>19</w:t>
            </w:r>
            <w:r>
              <w:rPr>
                <w:noProof/>
                <w:webHidden/>
              </w:rPr>
              <w:fldChar w:fldCharType="end"/>
            </w:r>
          </w:hyperlink>
        </w:p>
        <w:p w:rsidR="0092318E" w:rsidRDefault="0092318E">
          <w:pPr>
            <w:pStyle w:val="TDC2"/>
            <w:tabs>
              <w:tab w:val="left" w:pos="880"/>
              <w:tab w:val="right" w:leader="dot" w:pos="8828"/>
            </w:tabs>
            <w:rPr>
              <w:noProof/>
            </w:rPr>
          </w:pPr>
          <w:hyperlink w:anchor="_Toc341866720" w:history="1">
            <w:r w:rsidRPr="008A5CDD">
              <w:rPr>
                <w:rStyle w:val="Hipervnculo"/>
                <w:noProof/>
              </w:rPr>
              <w:t>4.2.</w:t>
            </w:r>
            <w:r>
              <w:rPr>
                <w:noProof/>
              </w:rPr>
              <w:tab/>
            </w:r>
            <w:r w:rsidRPr="008A5CDD">
              <w:rPr>
                <w:rStyle w:val="Hipervnculo"/>
                <w:noProof/>
              </w:rPr>
              <w:t>Proceso de postulación</w:t>
            </w:r>
            <w:r>
              <w:rPr>
                <w:noProof/>
                <w:webHidden/>
              </w:rPr>
              <w:tab/>
            </w:r>
            <w:r>
              <w:rPr>
                <w:noProof/>
                <w:webHidden/>
              </w:rPr>
              <w:fldChar w:fldCharType="begin"/>
            </w:r>
            <w:r>
              <w:rPr>
                <w:noProof/>
                <w:webHidden/>
              </w:rPr>
              <w:instrText xml:space="preserve"> PAGEREF _Toc341866720 \h </w:instrText>
            </w:r>
            <w:r>
              <w:rPr>
                <w:noProof/>
                <w:webHidden/>
              </w:rPr>
            </w:r>
            <w:r>
              <w:rPr>
                <w:noProof/>
                <w:webHidden/>
              </w:rPr>
              <w:fldChar w:fldCharType="separate"/>
            </w:r>
            <w:r>
              <w:rPr>
                <w:noProof/>
                <w:webHidden/>
              </w:rPr>
              <w:t>20</w:t>
            </w:r>
            <w:r>
              <w:rPr>
                <w:noProof/>
                <w:webHidden/>
              </w:rPr>
              <w:fldChar w:fldCharType="end"/>
            </w:r>
          </w:hyperlink>
        </w:p>
        <w:p w:rsidR="0092318E" w:rsidRDefault="0092318E">
          <w:pPr>
            <w:pStyle w:val="TDC2"/>
            <w:tabs>
              <w:tab w:val="left" w:pos="880"/>
              <w:tab w:val="right" w:leader="dot" w:pos="8828"/>
            </w:tabs>
            <w:rPr>
              <w:noProof/>
            </w:rPr>
          </w:pPr>
          <w:hyperlink w:anchor="_Toc341866721" w:history="1">
            <w:r w:rsidRPr="008A5CDD">
              <w:rPr>
                <w:rStyle w:val="Hipervnculo"/>
                <w:noProof/>
              </w:rPr>
              <w:t>4.3.</w:t>
            </w:r>
            <w:r>
              <w:rPr>
                <w:noProof/>
              </w:rPr>
              <w:tab/>
            </w:r>
            <w:r w:rsidRPr="008A5CDD">
              <w:rPr>
                <w:rStyle w:val="Hipervnculo"/>
                <w:noProof/>
              </w:rPr>
              <w:t>Cargo desempeñado</w:t>
            </w:r>
            <w:r>
              <w:rPr>
                <w:noProof/>
                <w:webHidden/>
              </w:rPr>
              <w:tab/>
            </w:r>
            <w:r>
              <w:rPr>
                <w:noProof/>
                <w:webHidden/>
              </w:rPr>
              <w:fldChar w:fldCharType="begin"/>
            </w:r>
            <w:r>
              <w:rPr>
                <w:noProof/>
                <w:webHidden/>
              </w:rPr>
              <w:instrText xml:space="preserve"> PAGEREF _Toc341866721 \h </w:instrText>
            </w:r>
            <w:r>
              <w:rPr>
                <w:noProof/>
                <w:webHidden/>
              </w:rPr>
            </w:r>
            <w:r>
              <w:rPr>
                <w:noProof/>
                <w:webHidden/>
              </w:rPr>
              <w:fldChar w:fldCharType="separate"/>
            </w:r>
            <w:r>
              <w:rPr>
                <w:noProof/>
                <w:webHidden/>
              </w:rPr>
              <w:t>20</w:t>
            </w:r>
            <w:r>
              <w:rPr>
                <w:noProof/>
                <w:webHidden/>
              </w:rPr>
              <w:fldChar w:fldCharType="end"/>
            </w:r>
          </w:hyperlink>
        </w:p>
        <w:p w:rsidR="0092318E" w:rsidRDefault="0092318E">
          <w:pPr>
            <w:pStyle w:val="TDC2"/>
            <w:tabs>
              <w:tab w:val="left" w:pos="880"/>
              <w:tab w:val="right" w:leader="dot" w:pos="8828"/>
            </w:tabs>
            <w:rPr>
              <w:noProof/>
            </w:rPr>
          </w:pPr>
          <w:hyperlink w:anchor="_Toc341866722" w:history="1">
            <w:r w:rsidRPr="008A5CDD">
              <w:rPr>
                <w:rStyle w:val="Hipervnculo"/>
                <w:noProof/>
              </w:rPr>
              <w:t>4.4.</w:t>
            </w:r>
            <w:r>
              <w:rPr>
                <w:noProof/>
              </w:rPr>
              <w:tab/>
            </w:r>
            <w:r w:rsidRPr="008A5CDD">
              <w:rPr>
                <w:rStyle w:val="Hipervnculo"/>
                <w:noProof/>
              </w:rPr>
              <w:t>Disponibilidad de cupos</w:t>
            </w:r>
            <w:r>
              <w:rPr>
                <w:noProof/>
                <w:webHidden/>
              </w:rPr>
              <w:tab/>
            </w:r>
            <w:r>
              <w:rPr>
                <w:noProof/>
                <w:webHidden/>
              </w:rPr>
              <w:fldChar w:fldCharType="begin"/>
            </w:r>
            <w:r>
              <w:rPr>
                <w:noProof/>
                <w:webHidden/>
              </w:rPr>
              <w:instrText xml:space="preserve"> PAGEREF _Toc341866722 \h </w:instrText>
            </w:r>
            <w:r>
              <w:rPr>
                <w:noProof/>
                <w:webHidden/>
              </w:rPr>
            </w:r>
            <w:r>
              <w:rPr>
                <w:noProof/>
                <w:webHidden/>
              </w:rPr>
              <w:fldChar w:fldCharType="separate"/>
            </w:r>
            <w:r>
              <w:rPr>
                <w:noProof/>
                <w:webHidden/>
              </w:rPr>
              <w:t>20</w:t>
            </w:r>
            <w:r>
              <w:rPr>
                <w:noProof/>
                <w:webHidden/>
              </w:rPr>
              <w:fldChar w:fldCharType="end"/>
            </w:r>
          </w:hyperlink>
        </w:p>
        <w:p w:rsidR="0092318E" w:rsidRDefault="0092318E">
          <w:pPr>
            <w:pStyle w:val="TDC1"/>
            <w:rPr>
              <w:b w:val="0"/>
            </w:rPr>
          </w:pPr>
          <w:hyperlink w:anchor="_Toc341866723" w:history="1">
            <w:r w:rsidRPr="008A5CDD">
              <w:rPr>
                <w:rStyle w:val="Hipervnculo"/>
              </w:rPr>
              <w:t>5.</w:t>
            </w:r>
            <w:r>
              <w:rPr>
                <w:b w:val="0"/>
              </w:rPr>
              <w:tab/>
            </w:r>
            <w:r w:rsidRPr="008A5CDD">
              <w:rPr>
                <w:rStyle w:val="Hipervnculo"/>
              </w:rPr>
              <w:t>CARACTERIZACIÓN DE LOS BENEFICIARIOS</w:t>
            </w:r>
            <w:r>
              <w:rPr>
                <w:webHidden/>
              </w:rPr>
              <w:tab/>
            </w:r>
            <w:r>
              <w:rPr>
                <w:webHidden/>
              </w:rPr>
              <w:fldChar w:fldCharType="begin"/>
            </w:r>
            <w:r>
              <w:rPr>
                <w:webHidden/>
              </w:rPr>
              <w:instrText xml:space="preserve"> PAGEREF _Toc341866723 \h </w:instrText>
            </w:r>
            <w:r>
              <w:rPr>
                <w:webHidden/>
              </w:rPr>
            </w:r>
            <w:r>
              <w:rPr>
                <w:webHidden/>
              </w:rPr>
              <w:fldChar w:fldCharType="separate"/>
            </w:r>
            <w:r>
              <w:rPr>
                <w:webHidden/>
              </w:rPr>
              <w:t>20</w:t>
            </w:r>
            <w:r>
              <w:rPr>
                <w:webHidden/>
              </w:rPr>
              <w:fldChar w:fldCharType="end"/>
            </w:r>
          </w:hyperlink>
        </w:p>
        <w:p w:rsidR="0092318E" w:rsidRDefault="0092318E">
          <w:pPr>
            <w:pStyle w:val="TDC2"/>
            <w:tabs>
              <w:tab w:val="left" w:pos="880"/>
              <w:tab w:val="right" w:leader="dot" w:pos="8828"/>
            </w:tabs>
            <w:rPr>
              <w:noProof/>
            </w:rPr>
          </w:pPr>
          <w:hyperlink w:anchor="_Toc341866724" w:history="1">
            <w:r w:rsidRPr="008A5CDD">
              <w:rPr>
                <w:rStyle w:val="Hipervnculo"/>
                <w:noProof/>
              </w:rPr>
              <w:t>5.1.</w:t>
            </w:r>
            <w:r>
              <w:rPr>
                <w:noProof/>
              </w:rPr>
              <w:tab/>
            </w:r>
            <w:r w:rsidRPr="008A5CDD">
              <w:rPr>
                <w:rStyle w:val="Hipervnculo"/>
                <w:noProof/>
              </w:rPr>
              <w:t>Institución de titulación</w:t>
            </w:r>
            <w:r>
              <w:rPr>
                <w:noProof/>
                <w:webHidden/>
              </w:rPr>
              <w:tab/>
            </w:r>
            <w:r>
              <w:rPr>
                <w:noProof/>
                <w:webHidden/>
              </w:rPr>
              <w:fldChar w:fldCharType="begin"/>
            </w:r>
            <w:r>
              <w:rPr>
                <w:noProof/>
                <w:webHidden/>
              </w:rPr>
              <w:instrText xml:space="preserve"> PAGEREF _Toc341866724 \h </w:instrText>
            </w:r>
            <w:r>
              <w:rPr>
                <w:noProof/>
                <w:webHidden/>
              </w:rPr>
            </w:r>
            <w:r>
              <w:rPr>
                <w:noProof/>
                <w:webHidden/>
              </w:rPr>
              <w:fldChar w:fldCharType="separate"/>
            </w:r>
            <w:r>
              <w:rPr>
                <w:noProof/>
                <w:webHidden/>
              </w:rPr>
              <w:t>21</w:t>
            </w:r>
            <w:r>
              <w:rPr>
                <w:noProof/>
                <w:webHidden/>
              </w:rPr>
              <w:fldChar w:fldCharType="end"/>
            </w:r>
          </w:hyperlink>
        </w:p>
        <w:p w:rsidR="0092318E" w:rsidRDefault="0092318E">
          <w:pPr>
            <w:pStyle w:val="TDC2"/>
            <w:tabs>
              <w:tab w:val="left" w:pos="880"/>
              <w:tab w:val="right" w:leader="dot" w:pos="8828"/>
            </w:tabs>
            <w:rPr>
              <w:noProof/>
            </w:rPr>
          </w:pPr>
          <w:hyperlink w:anchor="_Toc341866725" w:history="1">
            <w:r w:rsidRPr="008A5CDD">
              <w:rPr>
                <w:rStyle w:val="Hipervnculo"/>
                <w:noProof/>
              </w:rPr>
              <w:t>5.2.</w:t>
            </w:r>
            <w:r>
              <w:rPr>
                <w:noProof/>
              </w:rPr>
              <w:tab/>
            </w:r>
            <w:r w:rsidRPr="008A5CDD">
              <w:rPr>
                <w:rStyle w:val="Hipervnculo"/>
                <w:noProof/>
              </w:rPr>
              <w:t>Profesiones</w:t>
            </w:r>
            <w:r>
              <w:rPr>
                <w:noProof/>
                <w:webHidden/>
              </w:rPr>
              <w:tab/>
            </w:r>
            <w:r>
              <w:rPr>
                <w:noProof/>
                <w:webHidden/>
              </w:rPr>
              <w:fldChar w:fldCharType="begin"/>
            </w:r>
            <w:r>
              <w:rPr>
                <w:noProof/>
                <w:webHidden/>
              </w:rPr>
              <w:instrText xml:space="preserve"> PAGEREF _Toc341866725 \h </w:instrText>
            </w:r>
            <w:r>
              <w:rPr>
                <w:noProof/>
                <w:webHidden/>
              </w:rPr>
            </w:r>
            <w:r>
              <w:rPr>
                <w:noProof/>
                <w:webHidden/>
              </w:rPr>
              <w:fldChar w:fldCharType="separate"/>
            </w:r>
            <w:r>
              <w:rPr>
                <w:noProof/>
                <w:webHidden/>
              </w:rPr>
              <w:t>21</w:t>
            </w:r>
            <w:r>
              <w:rPr>
                <w:noProof/>
                <w:webHidden/>
              </w:rPr>
              <w:fldChar w:fldCharType="end"/>
            </w:r>
          </w:hyperlink>
        </w:p>
        <w:p w:rsidR="0092318E" w:rsidRDefault="0092318E">
          <w:pPr>
            <w:pStyle w:val="TDC2"/>
            <w:tabs>
              <w:tab w:val="left" w:pos="880"/>
              <w:tab w:val="right" w:leader="dot" w:pos="8828"/>
            </w:tabs>
            <w:rPr>
              <w:noProof/>
            </w:rPr>
          </w:pPr>
          <w:hyperlink w:anchor="_Toc341866726" w:history="1">
            <w:r w:rsidRPr="008A5CDD">
              <w:rPr>
                <w:rStyle w:val="Hipervnculo"/>
                <w:noProof/>
              </w:rPr>
              <w:t>5.3.</w:t>
            </w:r>
            <w:r>
              <w:rPr>
                <w:noProof/>
              </w:rPr>
              <w:tab/>
            </w:r>
            <w:r w:rsidRPr="008A5CDD">
              <w:rPr>
                <w:rStyle w:val="Hipervnculo"/>
                <w:noProof/>
              </w:rPr>
              <w:t>Áreas de desempeño</w:t>
            </w:r>
            <w:r>
              <w:rPr>
                <w:noProof/>
                <w:webHidden/>
              </w:rPr>
              <w:tab/>
            </w:r>
            <w:r>
              <w:rPr>
                <w:noProof/>
                <w:webHidden/>
              </w:rPr>
              <w:fldChar w:fldCharType="begin"/>
            </w:r>
            <w:r>
              <w:rPr>
                <w:noProof/>
                <w:webHidden/>
              </w:rPr>
              <w:instrText xml:space="preserve"> PAGEREF _Toc341866726 \h </w:instrText>
            </w:r>
            <w:r>
              <w:rPr>
                <w:noProof/>
                <w:webHidden/>
              </w:rPr>
            </w:r>
            <w:r>
              <w:rPr>
                <w:noProof/>
                <w:webHidden/>
              </w:rPr>
              <w:fldChar w:fldCharType="separate"/>
            </w:r>
            <w:r>
              <w:rPr>
                <w:noProof/>
                <w:webHidden/>
              </w:rPr>
              <w:t>22</w:t>
            </w:r>
            <w:r>
              <w:rPr>
                <w:noProof/>
                <w:webHidden/>
              </w:rPr>
              <w:fldChar w:fldCharType="end"/>
            </w:r>
          </w:hyperlink>
        </w:p>
        <w:p w:rsidR="0092318E" w:rsidRDefault="0092318E">
          <w:pPr>
            <w:pStyle w:val="TDC2"/>
            <w:tabs>
              <w:tab w:val="left" w:pos="880"/>
              <w:tab w:val="right" w:leader="dot" w:pos="8828"/>
            </w:tabs>
            <w:rPr>
              <w:noProof/>
            </w:rPr>
          </w:pPr>
          <w:hyperlink w:anchor="_Toc341866727" w:history="1">
            <w:r w:rsidRPr="008A5CDD">
              <w:rPr>
                <w:rStyle w:val="Hipervnculo"/>
                <w:noProof/>
              </w:rPr>
              <w:t>5.4.</w:t>
            </w:r>
            <w:r>
              <w:rPr>
                <w:noProof/>
              </w:rPr>
              <w:tab/>
            </w:r>
            <w:r w:rsidRPr="008A5CDD">
              <w:rPr>
                <w:rStyle w:val="Hipervnculo"/>
                <w:noProof/>
              </w:rPr>
              <w:t>Año de titulación (experiencia laboral)</w:t>
            </w:r>
            <w:r>
              <w:rPr>
                <w:noProof/>
                <w:webHidden/>
              </w:rPr>
              <w:tab/>
            </w:r>
            <w:r>
              <w:rPr>
                <w:noProof/>
                <w:webHidden/>
              </w:rPr>
              <w:fldChar w:fldCharType="begin"/>
            </w:r>
            <w:r>
              <w:rPr>
                <w:noProof/>
                <w:webHidden/>
              </w:rPr>
              <w:instrText xml:space="preserve"> PAGEREF _Toc341866727 \h </w:instrText>
            </w:r>
            <w:r>
              <w:rPr>
                <w:noProof/>
                <w:webHidden/>
              </w:rPr>
            </w:r>
            <w:r>
              <w:rPr>
                <w:noProof/>
                <w:webHidden/>
              </w:rPr>
              <w:fldChar w:fldCharType="separate"/>
            </w:r>
            <w:r>
              <w:rPr>
                <w:noProof/>
                <w:webHidden/>
              </w:rPr>
              <w:t>26</w:t>
            </w:r>
            <w:r>
              <w:rPr>
                <w:noProof/>
                <w:webHidden/>
              </w:rPr>
              <w:fldChar w:fldCharType="end"/>
            </w:r>
          </w:hyperlink>
        </w:p>
        <w:p w:rsidR="0092318E" w:rsidRDefault="0092318E">
          <w:pPr>
            <w:pStyle w:val="TDC2"/>
            <w:tabs>
              <w:tab w:val="left" w:pos="880"/>
              <w:tab w:val="right" w:leader="dot" w:pos="8828"/>
            </w:tabs>
            <w:rPr>
              <w:noProof/>
            </w:rPr>
          </w:pPr>
          <w:hyperlink w:anchor="_Toc341866728" w:history="1">
            <w:r w:rsidRPr="008A5CDD">
              <w:rPr>
                <w:rStyle w:val="Hipervnculo"/>
                <w:noProof/>
              </w:rPr>
              <w:t>5.5.</w:t>
            </w:r>
            <w:r>
              <w:rPr>
                <w:noProof/>
              </w:rPr>
              <w:tab/>
            </w:r>
            <w:r w:rsidRPr="008A5CDD">
              <w:rPr>
                <w:rStyle w:val="Hipervnculo"/>
                <w:noProof/>
              </w:rPr>
              <w:t>Años de desempeño en el puesto</w:t>
            </w:r>
            <w:r>
              <w:rPr>
                <w:noProof/>
                <w:webHidden/>
              </w:rPr>
              <w:tab/>
            </w:r>
            <w:r>
              <w:rPr>
                <w:noProof/>
                <w:webHidden/>
              </w:rPr>
              <w:fldChar w:fldCharType="begin"/>
            </w:r>
            <w:r>
              <w:rPr>
                <w:noProof/>
                <w:webHidden/>
              </w:rPr>
              <w:instrText xml:space="preserve"> PAGEREF _Toc341866728 \h </w:instrText>
            </w:r>
            <w:r>
              <w:rPr>
                <w:noProof/>
                <w:webHidden/>
              </w:rPr>
            </w:r>
            <w:r>
              <w:rPr>
                <w:noProof/>
                <w:webHidden/>
              </w:rPr>
              <w:fldChar w:fldCharType="separate"/>
            </w:r>
            <w:r>
              <w:rPr>
                <w:noProof/>
                <w:webHidden/>
              </w:rPr>
              <w:t>27</w:t>
            </w:r>
            <w:r>
              <w:rPr>
                <w:noProof/>
                <w:webHidden/>
              </w:rPr>
              <w:fldChar w:fldCharType="end"/>
            </w:r>
          </w:hyperlink>
        </w:p>
        <w:p w:rsidR="0092318E" w:rsidRDefault="0092318E">
          <w:pPr>
            <w:pStyle w:val="TDC2"/>
            <w:tabs>
              <w:tab w:val="left" w:pos="880"/>
              <w:tab w:val="right" w:leader="dot" w:pos="8828"/>
            </w:tabs>
            <w:rPr>
              <w:noProof/>
            </w:rPr>
          </w:pPr>
          <w:hyperlink w:anchor="_Toc341866729" w:history="1">
            <w:r w:rsidRPr="008A5CDD">
              <w:rPr>
                <w:rStyle w:val="Hipervnculo"/>
                <w:noProof/>
              </w:rPr>
              <w:t>5.6.</w:t>
            </w:r>
            <w:r>
              <w:rPr>
                <w:noProof/>
              </w:rPr>
              <w:tab/>
            </w:r>
            <w:r w:rsidRPr="008A5CDD">
              <w:rPr>
                <w:rStyle w:val="Hipervnculo"/>
                <w:noProof/>
              </w:rPr>
              <w:t>Motivación</w:t>
            </w:r>
            <w:r>
              <w:rPr>
                <w:noProof/>
                <w:webHidden/>
              </w:rPr>
              <w:tab/>
            </w:r>
            <w:r>
              <w:rPr>
                <w:noProof/>
                <w:webHidden/>
              </w:rPr>
              <w:fldChar w:fldCharType="begin"/>
            </w:r>
            <w:r>
              <w:rPr>
                <w:noProof/>
                <w:webHidden/>
              </w:rPr>
              <w:instrText xml:space="preserve"> PAGEREF _Toc341866729 \h </w:instrText>
            </w:r>
            <w:r>
              <w:rPr>
                <w:noProof/>
                <w:webHidden/>
              </w:rPr>
            </w:r>
            <w:r>
              <w:rPr>
                <w:noProof/>
                <w:webHidden/>
              </w:rPr>
              <w:fldChar w:fldCharType="separate"/>
            </w:r>
            <w:r>
              <w:rPr>
                <w:noProof/>
                <w:webHidden/>
              </w:rPr>
              <w:t>28</w:t>
            </w:r>
            <w:r>
              <w:rPr>
                <w:noProof/>
                <w:webHidden/>
              </w:rPr>
              <w:fldChar w:fldCharType="end"/>
            </w:r>
          </w:hyperlink>
        </w:p>
        <w:p w:rsidR="0092318E" w:rsidRDefault="0092318E">
          <w:pPr>
            <w:pStyle w:val="TDC1"/>
            <w:rPr>
              <w:b w:val="0"/>
            </w:rPr>
          </w:pPr>
          <w:hyperlink w:anchor="_Toc341866730" w:history="1">
            <w:r w:rsidRPr="008A5CDD">
              <w:rPr>
                <w:rStyle w:val="Hipervnculo"/>
              </w:rPr>
              <w:t>6.</w:t>
            </w:r>
            <w:r>
              <w:rPr>
                <w:b w:val="0"/>
              </w:rPr>
              <w:tab/>
            </w:r>
            <w:r w:rsidRPr="008A5CDD">
              <w:rPr>
                <w:rStyle w:val="Hipervnculo"/>
              </w:rPr>
              <w:t>COBERTURAS Y FOCALIZACIÓN</w:t>
            </w:r>
            <w:r>
              <w:rPr>
                <w:webHidden/>
              </w:rPr>
              <w:tab/>
            </w:r>
            <w:r>
              <w:rPr>
                <w:webHidden/>
              </w:rPr>
              <w:fldChar w:fldCharType="begin"/>
            </w:r>
            <w:r>
              <w:rPr>
                <w:webHidden/>
              </w:rPr>
              <w:instrText xml:space="preserve"> PAGEREF _Toc341866730 \h </w:instrText>
            </w:r>
            <w:r>
              <w:rPr>
                <w:webHidden/>
              </w:rPr>
            </w:r>
            <w:r>
              <w:rPr>
                <w:webHidden/>
              </w:rPr>
              <w:fldChar w:fldCharType="separate"/>
            </w:r>
            <w:r>
              <w:rPr>
                <w:webHidden/>
              </w:rPr>
              <w:t>29</w:t>
            </w:r>
            <w:r>
              <w:rPr>
                <w:webHidden/>
              </w:rPr>
              <w:fldChar w:fldCharType="end"/>
            </w:r>
          </w:hyperlink>
        </w:p>
        <w:p w:rsidR="0092318E" w:rsidRDefault="0092318E">
          <w:pPr>
            <w:pStyle w:val="TDC2"/>
            <w:tabs>
              <w:tab w:val="left" w:pos="880"/>
              <w:tab w:val="right" w:leader="dot" w:pos="8828"/>
            </w:tabs>
            <w:rPr>
              <w:noProof/>
            </w:rPr>
          </w:pPr>
          <w:hyperlink w:anchor="_Toc341866731" w:history="1">
            <w:r w:rsidRPr="008A5CDD">
              <w:rPr>
                <w:rStyle w:val="Hipervnculo"/>
                <w:noProof/>
              </w:rPr>
              <w:t>6.1.</w:t>
            </w:r>
            <w:r>
              <w:rPr>
                <w:noProof/>
              </w:rPr>
              <w:tab/>
            </w:r>
            <w:r w:rsidRPr="008A5CDD">
              <w:rPr>
                <w:rStyle w:val="Hipervnculo"/>
                <w:noProof/>
              </w:rPr>
              <w:t>Una consideración inicial</w:t>
            </w:r>
            <w:r>
              <w:rPr>
                <w:noProof/>
                <w:webHidden/>
              </w:rPr>
              <w:tab/>
            </w:r>
            <w:r>
              <w:rPr>
                <w:noProof/>
                <w:webHidden/>
              </w:rPr>
              <w:fldChar w:fldCharType="begin"/>
            </w:r>
            <w:r>
              <w:rPr>
                <w:noProof/>
                <w:webHidden/>
              </w:rPr>
              <w:instrText xml:space="preserve"> PAGEREF _Toc341866731 \h </w:instrText>
            </w:r>
            <w:r>
              <w:rPr>
                <w:noProof/>
                <w:webHidden/>
              </w:rPr>
            </w:r>
            <w:r>
              <w:rPr>
                <w:noProof/>
                <w:webHidden/>
              </w:rPr>
              <w:fldChar w:fldCharType="separate"/>
            </w:r>
            <w:r>
              <w:rPr>
                <w:noProof/>
                <w:webHidden/>
              </w:rPr>
              <w:t>29</w:t>
            </w:r>
            <w:r>
              <w:rPr>
                <w:noProof/>
                <w:webHidden/>
              </w:rPr>
              <w:fldChar w:fldCharType="end"/>
            </w:r>
          </w:hyperlink>
        </w:p>
        <w:p w:rsidR="0092318E" w:rsidRDefault="0092318E">
          <w:pPr>
            <w:pStyle w:val="TDC2"/>
            <w:tabs>
              <w:tab w:val="left" w:pos="880"/>
              <w:tab w:val="right" w:leader="dot" w:pos="8828"/>
            </w:tabs>
            <w:rPr>
              <w:noProof/>
            </w:rPr>
          </w:pPr>
          <w:hyperlink w:anchor="_Toc341866732" w:history="1">
            <w:r w:rsidRPr="008A5CDD">
              <w:rPr>
                <w:rStyle w:val="Hipervnculo"/>
                <w:noProof/>
              </w:rPr>
              <w:t>6.2.</w:t>
            </w:r>
            <w:r>
              <w:rPr>
                <w:noProof/>
              </w:rPr>
              <w:tab/>
            </w:r>
            <w:r w:rsidRPr="008A5CDD">
              <w:rPr>
                <w:rStyle w:val="Hipervnculo"/>
                <w:noProof/>
              </w:rPr>
              <w:t>Comunas elegibles por decreto versus comunas efectivamente beneficiadas</w:t>
            </w:r>
            <w:r>
              <w:rPr>
                <w:noProof/>
                <w:webHidden/>
              </w:rPr>
              <w:tab/>
            </w:r>
            <w:r>
              <w:rPr>
                <w:noProof/>
                <w:webHidden/>
              </w:rPr>
              <w:fldChar w:fldCharType="begin"/>
            </w:r>
            <w:r>
              <w:rPr>
                <w:noProof/>
                <w:webHidden/>
              </w:rPr>
              <w:instrText xml:space="preserve"> PAGEREF _Toc341866732 \h </w:instrText>
            </w:r>
            <w:r>
              <w:rPr>
                <w:noProof/>
                <w:webHidden/>
              </w:rPr>
            </w:r>
            <w:r>
              <w:rPr>
                <w:noProof/>
                <w:webHidden/>
              </w:rPr>
              <w:fldChar w:fldCharType="separate"/>
            </w:r>
            <w:r>
              <w:rPr>
                <w:noProof/>
                <w:webHidden/>
              </w:rPr>
              <w:t>29</w:t>
            </w:r>
            <w:r>
              <w:rPr>
                <w:noProof/>
                <w:webHidden/>
              </w:rPr>
              <w:fldChar w:fldCharType="end"/>
            </w:r>
          </w:hyperlink>
        </w:p>
        <w:p w:rsidR="0092318E" w:rsidRDefault="0092318E">
          <w:pPr>
            <w:pStyle w:val="TDC2"/>
            <w:tabs>
              <w:tab w:val="left" w:pos="880"/>
              <w:tab w:val="right" w:leader="dot" w:pos="8828"/>
            </w:tabs>
            <w:rPr>
              <w:noProof/>
            </w:rPr>
          </w:pPr>
          <w:hyperlink w:anchor="_Toc341866733" w:history="1">
            <w:r w:rsidRPr="008A5CDD">
              <w:rPr>
                <w:rStyle w:val="Hipervnculo"/>
                <w:noProof/>
              </w:rPr>
              <w:t>6.3.</w:t>
            </w:r>
            <w:r>
              <w:rPr>
                <w:noProof/>
              </w:rPr>
              <w:tab/>
            </w:r>
            <w:r w:rsidRPr="008A5CDD">
              <w:rPr>
                <w:rStyle w:val="Hipervnculo"/>
                <w:noProof/>
              </w:rPr>
              <w:t>Cupos disponibles por decreto versus cupos efectivamente utilizados</w:t>
            </w:r>
            <w:r>
              <w:rPr>
                <w:noProof/>
                <w:webHidden/>
              </w:rPr>
              <w:tab/>
            </w:r>
            <w:r>
              <w:rPr>
                <w:noProof/>
                <w:webHidden/>
              </w:rPr>
              <w:fldChar w:fldCharType="begin"/>
            </w:r>
            <w:r>
              <w:rPr>
                <w:noProof/>
                <w:webHidden/>
              </w:rPr>
              <w:instrText xml:space="preserve"> PAGEREF _Toc341866733 \h </w:instrText>
            </w:r>
            <w:r>
              <w:rPr>
                <w:noProof/>
                <w:webHidden/>
              </w:rPr>
            </w:r>
            <w:r>
              <w:rPr>
                <w:noProof/>
                <w:webHidden/>
              </w:rPr>
              <w:fldChar w:fldCharType="separate"/>
            </w:r>
            <w:r>
              <w:rPr>
                <w:noProof/>
                <w:webHidden/>
              </w:rPr>
              <w:t>30</w:t>
            </w:r>
            <w:r>
              <w:rPr>
                <w:noProof/>
                <w:webHidden/>
              </w:rPr>
              <w:fldChar w:fldCharType="end"/>
            </w:r>
          </w:hyperlink>
        </w:p>
        <w:p w:rsidR="0092318E" w:rsidRDefault="0092318E">
          <w:pPr>
            <w:pStyle w:val="TDC2"/>
            <w:tabs>
              <w:tab w:val="left" w:pos="880"/>
              <w:tab w:val="right" w:leader="dot" w:pos="8828"/>
            </w:tabs>
            <w:rPr>
              <w:noProof/>
            </w:rPr>
          </w:pPr>
          <w:hyperlink w:anchor="_Toc341866734" w:history="1">
            <w:r w:rsidRPr="008A5CDD">
              <w:rPr>
                <w:rStyle w:val="Hipervnculo"/>
                <w:noProof/>
              </w:rPr>
              <w:t>6.4.</w:t>
            </w:r>
            <w:r>
              <w:rPr>
                <w:noProof/>
              </w:rPr>
              <w:tab/>
            </w:r>
            <w:r w:rsidRPr="008A5CDD">
              <w:rPr>
                <w:rStyle w:val="Hipervnculo"/>
                <w:noProof/>
              </w:rPr>
              <w:t>Número de comunas versus número de cupos</w:t>
            </w:r>
            <w:r>
              <w:rPr>
                <w:noProof/>
                <w:webHidden/>
              </w:rPr>
              <w:tab/>
            </w:r>
            <w:r>
              <w:rPr>
                <w:noProof/>
                <w:webHidden/>
              </w:rPr>
              <w:fldChar w:fldCharType="begin"/>
            </w:r>
            <w:r>
              <w:rPr>
                <w:noProof/>
                <w:webHidden/>
              </w:rPr>
              <w:instrText xml:space="preserve"> PAGEREF _Toc341866734 \h </w:instrText>
            </w:r>
            <w:r>
              <w:rPr>
                <w:noProof/>
                <w:webHidden/>
              </w:rPr>
            </w:r>
            <w:r>
              <w:rPr>
                <w:noProof/>
                <w:webHidden/>
              </w:rPr>
              <w:fldChar w:fldCharType="separate"/>
            </w:r>
            <w:r>
              <w:rPr>
                <w:noProof/>
                <w:webHidden/>
              </w:rPr>
              <w:t>32</w:t>
            </w:r>
            <w:r>
              <w:rPr>
                <w:noProof/>
                <w:webHidden/>
              </w:rPr>
              <w:fldChar w:fldCharType="end"/>
            </w:r>
          </w:hyperlink>
        </w:p>
        <w:p w:rsidR="0092318E" w:rsidRDefault="0092318E">
          <w:pPr>
            <w:pStyle w:val="TDC2"/>
            <w:tabs>
              <w:tab w:val="left" w:pos="880"/>
              <w:tab w:val="right" w:leader="dot" w:pos="8828"/>
            </w:tabs>
            <w:rPr>
              <w:noProof/>
            </w:rPr>
          </w:pPr>
          <w:hyperlink w:anchor="_Toc341866735" w:history="1">
            <w:r w:rsidRPr="008A5CDD">
              <w:rPr>
                <w:rStyle w:val="Hipervnculo"/>
                <w:noProof/>
              </w:rPr>
              <w:t>6.5.</w:t>
            </w:r>
            <w:r>
              <w:rPr>
                <w:noProof/>
              </w:rPr>
              <w:tab/>
            </w:r>
            <w:r w:rsidRPr="008A5CDD">
              <w:rPr>
                <w:rStyle w:val="Hipervnculo"/>
                <w:noProof/>
              </w:rPr>
              <w:t>Continuidad en el uso del beneficio: permanencia en el cargo</w:t>
            </w:r>
            <w:r>
              <w:rPr>
                <w:noProof/>
                <w:webHidden/>
              </w:rPr>
              <w:tab/>
            </w:r>
            <w:r>
              <w:rPr>
                <w:noProof/>
                <w:webHidden/>
              </w:rPr>
              <w:fldChar w:fldCharType="begin"/>
            </w:r>
            <w:r>
              <w:rPr>
                <w:noProof/>
                <w:webHidden/>
              </w:rPr>
              <w:instrText xml:space="preserve"> PAGEREF _Toc341866735 \h </w:instrText>
            </w:r>
            <w:r>
              <w:rPr>
                <w:noProof/>
                <w:webHidden/>
              </w:rPr>
            </w:r>
            <w:r>
              <w:rPr>
                <w:noProof/>
                <w:webHidden/>
              </w:rPr>
              <w:fldChar w:fldCharType="separate"/>
            </w:r>
            <w:r>
              <w:rPr>
                <w:noProof/>
                <w:webHidden/>
              </w:rPr>
              <w:t>32</w:t>
            </w:r>
            <w:r>
              <w:rPr>
                <w:noProof/>
                <w:webHidden/>
              </w:rPr>
              <w:fldChar w:fldCharType="end"/>
            </w:r>
          </w:hyperlink>
        </w:p>
        <w:p w:rsidR="0092318E" w:rsidRDefault="0092318E">
          <w:pPr>
            <w:pStyle w:val="TDC2"/>
            <w:tabs>
              <w:tab w:val="left" w:pos="880"/>
              <w:tab w:val="right" w:leader="dot" w:pos="8828"/>
            </w:tabs>
            <w:rPr>
              <w:noProof/>
            </w:rPr>
          </w:pPr>
          <w:hyperlink w:anchor="_Toc341866736" w:history="1">
            <w:r w:rsidRPr="008A5CDD">
              <w:rPr>
                <w:rStyle w:val="Hipervnculo"/>
                <w:noProof/>
              </w:rPr>
              <w:t>6.6.</w:t>
            </w:r>
            <w:r>
              <w:rPr>
                <w:noProof/>
              </w:rPr>
              <w:tab/>
            </w:r>
            <w:r w:rsidRPr="008A5CDD">
              <w:rPr>
                <w:rStyle w:val="Hipervnculo"/>
                <w:noProof/>
              </w:rPr>
              <w:t>Otras consideraciones sobre la cobertura</w:t>
            </w:r>
            <w:r>
              <w:rPr>
                <w:noProof/>
                <w:webHidden/>
              </w:rPr>
              <w:tab/>
            </w:r>
            <w:r>
              <w:rPr>
                <w:noProof/>
                <w:webHidden/>
              </w:rPr>
              <w:fldChar w:fldCharType="begin"/>
            </w:r>
            <w:r>
              <w:rPr>
                <w:noProof/>
                <w:webHidden/>
              </w:rPr>
              <w:instrText xml:space="preserve"> PAGEREF _Toc341866736 \h </w:instrText>
            </w:r>
            <w:r>
              <w:rPr>
                <w:noProof/>
                <w:webHidden/>
              </w:rPr>
            </w:r>
            <w:r>
              <w:rPr>
                <w:noProof/>
                <w:webHidden/>
              </w:rPr>
              <w:fldChar w:fldCharType="separate"/>
            </w:r>
            <w:r>
              <w:rPr>
                <w:noProof/>
                <w:webHidden/>
              </w:rPr>
              <w:t>34</w:t>
            </w:r>
            <w:r>
              <w:rPr>
                <w:noProof/>
                <w:webHidden/>
              </w:rPr>
              <w:fldChar w:fldCharType="end"/>
            </w:r>
          </w:hyperlink>
        </w:p>
        <w:p w:rsidR="0092318E" w:rsidRDefault="0092318E">
          <w:pPr>
            <w:pStyle w:val="TDC1"/>
            <w:rPr>
              <w:b w:val="0"/>
            </w:rPr>
          </w:pPr>
          <w:hyperlink w:anchor="_Toc341866737" w:history="1">
            <w:r w:rsidRPr="008A5CDD">
              <w:rPr>
                <w:rStyle w:val="Hipervnculo"/>
              </w:rPr>
              <w:t>7.</w:t>
            </w:r>
            <w:r>
              <w:rPr>
                <w:b w:val="0"/>
              </w:rPr>
              <w:tab/>
            </w:r>
            <w:r w:rsidRPr="008A5CDD">
              <w:rPr>
                <w:rStyle w:val="Hipervnculo"/>
              </w:rPr>
              <w:t>APORTE DE LA APLICACIÓN DE LA LEY A LAS INSTITUCIONES RECEPTORAS (MUNICIPIOS Y OTRAS)</w:t>
            </w:r>
            <w:r>
              <w:rPr>
                <w:webHidden/>
              </w:rPr>
              <w:tab/>
            </w:r>
            <w:r>
              <w:rPr>
                <w:webHidden/>
              </w:rPr>
              <w:fldChar w:fldCharType="begin"/>
            </w:r>
            <w:r>
              <w:rPr>
                <w:webHidden/>
              </w:rPr>
              <w:instrText xml:space="preserve"> PAGEREF _Toc341866737 \h </w:instrText>
            </w:r>
            <w:r>
              <w:rPr>
                <w:webHidden/>
              </w:rPr>
            </w:r>
            <w:r>
              <w:rPr>
                <w:webHidden/>
              </w:rPr>
              <w:fldChar w:fldCharType="separate"/>
            </w:r>
            <w:r>
              <w:rPr>
                <w:webHidden/>
              </w:rPr>
              <w:t>34</w:t>
            </w:r>
            <w:r>
              <w:rPr>
                <w:webHidden/>
              </w:rPr>
              <w:fldChar w:fldCharType="end"/>
            </w:r>
          </w:hyperlink>
        </w:p>
        <w:p w:rsidR="0092318E" w:rsidRDefault="0092318E">
          <w:pPr>
            <w:pStyle w:val="TDC1"/>
            <w:rPr>
              <w:b w:val="0"/>
            </w:rPr>
          </w:pPr>
          <w:hyperlink w:anchor="_Toc341866738" w:history="1">
            <w:r w:rsidRPr="008A5CDD">
              <w:rPr>
                <w:rStyle w:val="Hipervnculo"/>
              </w:rPr>
              <w:t>8.</w:t>
            </w:r>
            <w:r>
              <w:rPr>
                <w:b w:val="0"/>
              </w:rPr>
              <w:tab/>
            </w:r>
            <w:r w:rsidRPr="008A5CDD">
              <w:rPr>
                <w:rStyle w:val="Hipervnculo"/>
              </w:rPr>
              <w:t>MONTOS DEL BENEFICIO, DESTINO Y RECURSOS FISCALES UTILIZADOS</w:t>
            </w:r>
            <w:r>
              <w:rPr>
                <w:webHidden/>
              </w:rPr>
              <w:tab/>
            </w:r>
            <w:r>
              <w:rPr>
                <w:webHidden/>
              </w:rPr>
              <w:fldChar w:fldCharType="begin"/>
            </w:r>
            <w:r>
              <w:rPr>
                <w:webHidden/>
              </w:rPr>
              <w:instrText xml:space="preserve"> PAGEREF _Toc341866738 \h </w:instrText>
            </w:r>
            <w:r>
              <w:rPr>
                <w:webHidden/>
              </w:rPr>
            </w:r>
            <w:r>
              <w:rPr>
                <w:webHidden/>
              </w:rPr>
              <w:fldChar w:fldCharType="separate"/>
            </w:r>
            <w:r>
              <w:rPr>
                <w:webHidden/>
              </w:rPr>
              <w:t>35</w:t>
            </w:r>
            <w:r>
              <w:rPr>
                <w:webHidden/>
              </w:rPr>
              <w:fldChar w:fldCharType="end"/>
            </w:r>
          </w:hyperlink>
        </w:p>
        <w:p w:rsidR="0092318E" w:rsidRDefault="0092318E">
          <w:pPr>
            <w:pStyle w:val="TDC2"/>
            <w:tabs>
              <w:tab w:val="left" w:pos="880"/>
              <w:tab w:val="right" w:leader="dot" w:pos="8828"/>
            </w:tabs>
            <w:rPr>
              <w:noProof/>
            </w:rPr>
          </w:pPr>
          <w:hyperlink w:anchor="_Toc341866739" w:history="1">
            <w:r w:rsidRPr="008A5CDD">
              <w:rPr>
                <w:rStyle w:val="Hipervnculo"/>
                <w:noProof/>
              </w:rPr>
              <w:t>8.1.</w:t>
            </w:r>
            <w:r>
              <w:rPr>
                <w:noProof/>
              </w:rPr>
              <w:tab/>
            </w:r>
            <w:r w:rsidRPr="008A5CDD">
              <w:rPr>
                <w:rStyle w:val="Hipervnculo"/>
                <w:noProof/>
              </w:rPr>
              <w:t>Presupuesto disponible, beneficios asignados y presupuesto ejecutado</w:t>
            </w:r>
            <w:r>
              <w:rPr>
                <w:noProof/>
                <w:webHidden/>
              </w:rPr>
              <w:tab/>
            </w:r>
            <w:r>
              <w:rPr>
                <w:noProof/>
                <w:webHidden/>
              </w:rPr>
              <w:fldChar w:fldCharType="begin"/>
            </w:r>
            <w:r>
              <w:rPr>
                <w:noProof/>
                <w:webHidden/>
              </w:rPr>
              <w:instrText xml:space="preserve"> PAGEREF _Toc341866739 \h </w:instrText>
            </w:r>
            <w:r>
              <w:rPr>
                <w:noProof/>
                <w:webHidden/>
              </w:rPr>
            </w:r>
            <w:r>
              <w:rPr>
                <w:noProof/>
                <w:webHidden/>
              </w:rPr>
              <w:fldChar w:fldCharType="separate"/>
            </w:r>
            <w:r>
              <w:rPr>
                <w:noProof/>
                <w:webHidden/>
              </w:rPr>
              <w:t>35</w:t>
            </w:r>
            <w:r>
              <w:rPr>
                <w:noProof/>
                <w:webHidden/>
              </w:rPr>
              <w:fldChar w:fldCharType="end"/>
            </w:r>
          </w:hyperlink>
        </w:p>
        <w:p w:rsidR="0092318E" w:rsidRDefault="0092318E">
          <w:pPr>
            <w:pStyle w:val="TDC2"/>
            <w:tabs>
              <w:tab w:val="left" w:pos="880"/>
              <w:tab w:val="right" w:leader="dot" w:pos="8828"/>
            </w:tabs>
            <w:rPr>
              <w:noProof/>
            </w:rPr>
          </w:pPr>
          <w:hyperlink w:anchor="_Toc341866740" w:history="1">
            <w:r w:rsidRPr="008A5CDD">
              <w:rPr>
                <w:rStyle w:val="Hipervnculo"/>
                <w:noProof/>
              </w:rPr>
              <w:t>8.2.</w:t>
            </w:r>
            <w:r>
              <w:rPr>
                <w:noProof/>
              </w:rPr>
              <w:tab/>
            </w:r>
            <w:r w:rsidRPr="008A5CDD">
              <w:rPr>
                <w:rStyle w:val="Hipervnculo"/>
                <w:noProof/>
              </w:rPr>
              <w:t>Rangos de financiamiento entregado por beneficiario</w:t>
            </w:r>
            <w:r>
              <w:rPr>
                <w:noProof/>
                <w:webHidden/>
              </w:rPr>
              <w:tab/>
            </w:r>
            <w:r>
              <w:rPr>
                <w:noProof/>
                <w:webHidden/>
              </w:rPr>
              <w:fldChar w:fldCharType="begin"/>
            </w:r>
            <w:r>
              <w:rPr>
                <w:noProof/>
                <w:webHidden/>
              </w:rPr>
              <w:instrText xml:space="preserve"> PAGEREF _Toc341866740 \h </w:instrText>
            </w:r>
            <w:r>
              <w:rPr>
                <w:noProof/>
                <w:webHidden/>
              </w:rPr>
            </w:r>
            <w:r>
              <w:rPr>
                <w:noProof/>
                <w:webHidden/>
              </w:rPr>
              <w:fldChar w:fldCharType="separate"/>
            </w:r>
            <w:r>
              <w:rPr>
                <w:noProof/>
                <w:webHidden/>
              </w:rPr>
              <w:t>36</w:t>
            </w:r>
            <w:r>
              <w:rPr>
                <w:noProof/>
                <w:webHidden/>
              </w:rPr>
              <w:fldChar w:fldCharType="end"/>
            </w:r>
          </w:hyperlink>
        </w:p>
        <w:p w:rsidR="0092318E" w:rsidRDefault="0092318E">
          <w:pPr>
            <w:pStyle w:val="TDC2"/>
            <w:tabs>
              <w:tab w:val="left" w:pos="880"/>
              <w:tab w:val="right" w:leader="dot" w:pos="8828"/>
            </w:tabs>
            <w:rPr>
              <w:noProof/>
            </w:rPr>
          </w:pPr>
          <w:hyperlink w:anchor="_Toc341866741" w:history="1">
            <w:r w:rsidRPr="008A5CDD">
              <w:rPr>
                <w:rStyle w:val="Hipervnculo"/>
                <w:noProof/>
              </w:rPr>
              <w:t>8.3.</w:t>
            </w:r>
            <w:r>
              <w:rPr>
                <w:noProof/>
              </w:rPr>
              <w:tab/>
            </w:r>
            <w:r w:rsidRPr="008A5CDD">
              <w:rPr>
                <w:rStyle w:val="Hipervnculo"/>
                <w:noProof/>
              </w:rPr>
              <w:t>Destino del pago</w:t>
            </w:r>
            <w:r>
              <w:rPr>
                <w:noProof/>
                <w:webHidden/>
              </w:rPr>
              <w:tab/>
            </w:r>
            <w:r>
              <w:rPr>
                <w:noProof/>
                <w:webHidden/>
              </w:rPr>
              <w:fldChar w:fldCharType="begin"/>
            </w:r>
            <w:r>
              <w:rPr>
                <w:noProof/>
                <w:webHidden/>
              </w:rPr>
              <w:instrText xml:space="preserve"> PAGEREF _Toc341866741 \h </w:instrText>
            </w:r>
            <w:r>
              <w:rPr>
                <w:noProof/>
                <w:webHidden/>
              </w:rPr>
            </w:r>
            <w:r>
              <w:rPr>
                <w:noProof/>
                <w:webHidden/>
              </w:rPr>
              <w:fldChar w:fldCharType="separate"/>
            </w:r>
            <w:r>
              <w:rPr>
                <w:noProof/>
                <w:webHidden/>
              </w:rPr>
              <w:t>37</w:t>
            </w:r>
            <w:r>
              <w:rPr>
                <w:noProof/>
                <w:webHidden/>
              </w:rPr>
              <w:fldChar w:fldCharType="end"/>
            </w:r>
          </w:hyperlink>
        </w:p>
        <w:p w:rsidR="0092318E" w:rsidRDefault="0092318E">
          <w:pPr>
            <w:pStyle w:val="TDC1"/>
            <w:rPr>
              <w:b w:val="0"/>
            </w:rPr>
          </w:pPr>
          <w:hyperlink w:anchor="_Toc341866742" w:history="1">
            <w:r w:rsidRPr="008A5CDD">
              <w:rPr>
                <w:rStyle w:val="Hipervnculo"/>
              </w:rPr>
              <w:t>9.</w:t>
            </w:r>
            <w:r>
              <w:rPr>
                <w:b w:val="0"/>
              </w:rPr>
              <w:tab/>
            </w:r>
            <w:r w:rsidRPr="008A5CDD">
              <w:rPr>
                <w:rStyle w:val="Hipervnculo"/>
              </w:rPr>
              <w:t>SÍNTESIS A MODO DE CONCLUSIONES: FORTALEZAS Y DEBILIDADES GENERALES DE LA LEY Y SU APLICACIÓN</w:t>
            </w:r>
            <w:r>
              <w:rPr>
                <w:webHidden/>
              </w:rPr>
              <w:tab/>
            </w:r>
            <w:r>
              <w:rPr>
                <w:webHidden/>
              </w:rPr>
              <w:fldChar w:fldCharType="begin"/>
            </w:r>
            <w:r>
              <w:rPr>
                <w:webHidden/>
              </w:rPr>
              <w:instrText xml:space="preserve"> PAGEREF _Toc341866742 \h </w:instrText>
            </w:r>
            <w:r>
              <w:rPr>
                <w:webHidden/>
              </w:rPr>
            </w:r>
            <w:r>
              <w:rPr>
                <w:webHidden/>
              </w:rPr>
              <w:fldChar w:fldCharType="separate"/>
            </w:r>
            <w:r>
              <w:rPr>
                <w:webHidden/>
              </w:rPr>
              <w:t>38</w:t>
            </w:r>
            <w:r>
              <w:rPr>
                <w:webHidden/>
              </w:rPr>
              <w:fldChar w:fldCharType="end"/>
            </w:r>
          </w:hyperlink>
        </w:p>
        <w:p w:rsidR="0092318E" w:rsidRDefault="0092318E">
          <w:pPr>
            <w:pStyle w:val="TDC2"/>
            <w:tabs>
              <w:tab w:val="left" w:pos="880"/>
              <w:tab w:val="right" w:leader="dot" w:pos="8828"/>
            </w:tabs>
            <w:rPr>
              <w:noProof/>
            </w:rPr>
          </w:pPr>
          <w:hyperlink w:anchor="_Toc341866743" w:history="1">
            <w:r w:rsidRPr="008A5CDD">
              <w:rPr>
                <w:rStyle w:val="Hipervnculo"/>
                <w:noProof/>
              </w:rPr>
              <w:t>9.1.</w:t>
            </w:r>
            <w:r>
              <w:rPr>
                <w:noProof/>
              </w:rPr>
              <w:tab/>
            </w:r>
            <w:r w:rsidRPr="008A5CDD">
              <w:rPr>
                <w:rStyle w:val="Hipervnculo"/>
                <w:noProof/>
              </w:rPr>
              <w:t>Sobre el espíritu de la ley</w:t>
            </w:r>
            <w:r>
              <w:rPr>
                <w:noProof/>
                <w:webHidden/>
              </w:rPr>
              <w:tab/>
            </w:r>
            <w:r>
              <w:rPr>
                <w:noProof/>
                <w:webHidden/>
              </w:rPr>
              <w:fldChar w:fldCharType="begin"/>
            </w:r>
            <w:r>
              <w:rPr>
                <w:noProof/>
                <w:webHidden/>
              </w:rPr>
              <w:instrText xml:space="preserve"> PAGEREF _Toc341866743 \h </w:instrText>
            </w:r>
            <w:r>
              <w:rPr>
                <w:noProof/>
                <w:webHidden/>
              </w:rPr>
            </w:r>
            <w:r>
              <w:rPr>
                <w:noProof/>
                <w:webHidden/>
              </w:rPr>
              <w:fldChar w:fldCharType="separate"/>
            </w:r>
            <w:r>
              <w:rPr>
                <w:noProof/>
                <w:webHidden/>
              </w:rPr>
              <w:t>38</w:t>
            </w:r>
            <w:r>
              <w:rPr>
                <w:noProof/>
                <w:webHidden/>
              </w:rPr>
              <w:fldChar w:fldCharType="end"/>
            </w:r>
          </w:hyperlink>
        </w:p>
        <w:p w:rsidR="0092318E" w:rsidRDefault="0092318E">
          <w:pPr>
            <w:pStyle w:val="TDC2"/>
            <w:tabs>
              <w:tab w:val="left" w:pos="880"/>
              <w:tab w:val="right" w:leader="dot" w:pos="8828"/>
            </w:tabs>
            <w:rPr>
              <w:noProof/>
            </w:rPr>
          </w:pPr>
          <w:hyperlink w:anchor="_Toc341866744" w:history="1">
            <w:r w:rsidRPr="008A5CDD">
              <w:rPr>
                <w:rStyle w:val="Hipervnculo"/>
                <w:noProof/>
              </w:rPr>
              <w:t>9.2.</w:t>
            </w:r>
            <w:r>
              <w:rPr>
                <w:noProof/>
              </w:rPr>
              <w:tab/>
            </w:r>
            <w:r w:rsidRPr="008A5CDD">
              <w:rPr>
                <w:rStyle w:val="Hipervnculo"/>
                <w:noProof/>
              </w:rPr>
              <w:t>Sobre la operatoria de la ley</w:t>
            </w:r>
            <w:r>
              <w:rPr>
                <w:noProof/>
                <w:webHidden/>
              </w:rPr>
              <w:tab/>
            </w:r>
            <w:r>
              <w:rPr>
                <w:noProof/>
                <w:webHidden/>
              </w:rPr>
              <w:fldChar w:fldCharType="begin"/>
            </w:r>
            <w:r>
              <w:rPr>
                <w:noProof/>
                <w:webHidden/>
              </w:rPr>
              <w:instrText xml:space="preserve"> PAGEREF _Toc341866744 \h </w:instrText>
            </w:r>
            <w:r>
              <w:rPr>
                <w:noProof/>
                <w:webHidden/>
              </w:rPr>
            </w:r>
            <w:r>
              <w:rPr>
                <w:noProof/>
                <w:webHidden/>
              </w:rPr>
              <w:fldChar w:fldCharType="separate"/>
            </w:r>
            <w:r>
              <w:rPr>
                <w:noProof/>
                <w:webHidden/>
              </w:rPr>
              <w:t>40</w:t>
            </w:r>
            <w:r>
              <w:rPr>
                <w:noProof/>
                <w:webHidden/>
              </w:rPr>
              <w:fldChar w:fldCharType="end"/>
            </w:r>
          </w:hyperlink>
        </w:p>
        <w:p w:rsidR="0092318E" w:rsidRDefault="0092318E">
          <w:pPr>
            <w:pStyle w:val="TDC1"/>
            <w:rPr>
              <w:b w:val="0"/>
            </w:rPr>
          </w:pPr>
          <w:hyperlink w:anchor="_Toc341866745" w:history="1">
            <w:r w:rsidRPr="008A5CDD">
              <w:rPr>
                <w:rStyle w:val="Hipervnculo"/>
              </w:rPr>
              <w:t>10.</w:t>
            </w:r>
            <w:r>
              <w:rPr>
                <w:b w:val="0"/>
              </w:rPr>
              <w:tab/>
            </w:r>
            <w:r w:rsidRPr="008A5CDD">
              <w:rPr>
                <w:rStyle w:val="Hipervnculo"/>
              </w:rPr>
              <w:t>RECOMENDACIONES</w:t>
            </w:r>
            <w:r>
              <w:rPr>
                <w:webHidden/>
              </w:rPr>
              <w:tab/>
            </w:r>
            <w:r>
              <w:rPr>
                <w:webHidden/>
              </w:rPr>
              <w:fldChar w:fldCharType="begin"/>
            </w:r>
            <w:r>
              <w:rPr>
                <w:webHidden/>
              </w:rPr>
              <w:instrText xml:space="preserve"> PAGEREF _Toc341866745 \h </w:instrText>
            </w:r>
            <w:r>
              <w:rPr>
                <w:webHidden/>
              </w:rPr>
            </w:r>
            <w:r>
              <w:rPr>
                <w:webHidden/>
              </w:rPr>
              <w:fldChar w:fldCharType="separate"/>
            </w:r>
            <w:r>
              <w:rPr>
                <w:webHidden/>
              </w:rPr>
              <w:t>42</w:t>
            </w:r>
            <w:r>
              <w:rPr>
                <w:webHidden/>
              </w:rPr>
              <w:fldChar w:fldCharType="end"/>
            </w:r>
          </w:hyperlink>
        </w:p>
        <w:p w:rsidR="0092318E" w:rsidRDefault="0092318E">
          <w:pPr>
            <w:pStyle w:val="TDC2"/>
            <w:tabs>
              <w:tab w:val="left" w:pos="1100"/>
              <w:tab w:val="right" w:leader="dot" w:pos="8828"/>
            </w:tabs>
            <w:rPr>
              <w:noProof/>
            </w:rPr>
          </w:pPr>
          <w:hyperlink w:anchor="_Toc341866746" w:history="1">
            <w:r w:rsidRPr="008A5CDD">
              <w:rPr>
                <w:rStyle w:val="Hipervnculo"/>
                <w:noProof/>
              </w:rPr>
              <w:t>10.1.</w:t>
            </w:r>
            <w:r>
              <w:rPr>
                <w:noProof/>
              </w:rPr>
              <w:tab/>
            </w:r>
            <w:r w:rsidRPr="008A5CDD">
              <w:rPr>
                <w:rStyle w:val="Hipervnculo"/>
                <w:noProof/>
              </w:rPr>
              <w:t>Un responsable nacional</w:t>
            </w:r>
            <w:r>
              <w:rPr>
                <w:noProof/>
                <w:webHidden/>
              </w:rPr>
              <w:tab/>
            </w:r>
            <w:r>
              <w:rPr>
                <w:noProof/>
                <w:webHidden/>
              </w:rPr>
              <w:fldChar w:fldCharType="begin"/>
            </w:r>
            <w:r>
              <w:rPr>
                <w:noProof/>
                <w:webHidden/>
              </w:rPr>
              <w:instrText xml:space="preserve"> PAGEREF _Toc341866746 \h </w:instrText>
            </w:r>
            <w:r>
              <w:rPr>
                <w:noProof/>
                <w:webHidden/>
              </w:rPr>
            </w:r>
            <w:r>
              <w:rPr>
                <w:noProof/>
                <w:webHidden/>
              </w:rPr>
              <w:fldChar w:fldCharType="separate"/>
            </w:r>
            <w:r>
              <w:rPr>
                <w:noProof/>
                <w:webHidden/>
              </w:rPr>
              <w:t>42</w:t>
            </w:r>
            <w:r>
              <w:rPr>
                <w:noProof/>
                <w:webHidden/>
              </w:rPr>
              <w:fldChar w:fldCharType="end"/>
            </w:r>
          </w:hyperlink>
        </w:p>
        <w:p w:rsidR="0092318E" w:rsidRDefault="0092318E">
          <w:pPr>
            <w:pStyle w:val="TDC2"/>
            <w:tabs>
              <w:tab w:val="left" w:pos="1100"/>
              <w:tab w:val="right" w:leader="dot" w:pos="8828"/>
            </w:tabs>
            <w:rPr>
              <w:noProof/>
            </w:rPr>
          </w:pPr>
          <w:hyperlink w:anchor="_Toc341866747" w:history="1">
            <w:r w:rsidRPr="008A5CDD">
              <w:rPr>
                <w:rStyle w:val="Hipervnculo"/>
                <w:noProof/>
              </w:rPr>
              <w:t>10.2.</w:t>
            </w:r>
            <w:r>
              <w:rPr>
                <w:noProof/>
              </w:rPr>
              <w:tab/>
            </w:r>
            <w:r w:rsidRPr="008A5CDD">
              <w:rPr>
                <w:rStyle w:val="Hipervnculo"/>
                <w:noProof/>
              </w:rPr>
              <w:t>Menos interlocutores</w:t>
            </w:r>
            <w:r>
              <w:rPr>
                <w:noProof/>
                <w:webHidden/>
              </w:rPr>
              <w:tab/>
            </w:r>
            <w:r>
              <w:rPr>
                <w:noProof/>
                <w:webHidden/>
              </w:rPr>
              <w:fldChar w:fldCharType="begin"/>
            </w:r>
            <w:r>
              <w:rPr>
                <w:noProof/>
                <w:webHidden/>
              </w:rPr>
              <w:instrText xml:space="preserve"> PAGEREF _Toc341866747 \h </w:instrText>
            </w:r>
            <w:r>
              <w:rPr>
                <w:noProof/>
                <w:webHidden/>
              </w:rPr>
            </w:r>
            <w:r>
              <w:rPr>
                <w:noProof/>
                <w:webHidden/>
              </w:rPr>
              <w:fldChar w:fldCharType="separate"/>
            </w:r>
            <w:r>
              <w:rPr>
                <w:noProof/>
                <w:webHidden/>
              </w:rPr>
              <w:t>43</w:t>
            </w:r>
            <w:r>
              <w:rPr>
                <w:noProof/>
                <w:webHidden/>
              </w:rPr>
              <w:fldChar w:fldCharType="end"/>
            </w:r>
          </w:hyperlink>
        </w:p>
        <w:p w:rsidR="0092318E" w:rsidRDefault="0092318E">
          <w:pPr>
            <w:pStyle w:val="TDC2"/>
            <w:tabs>
              <w:tab w:val="left" w:pos="1100"/>
              <w:tab w:val="right" w:leader="dot" w:pos="8828"/>
            </w:tabs>
            <w:rPr>
              <w:noProof/>
            </w:rPr>
          </w:pPr>
          <w:hyperlink w:anchor="_Toc341866748" w:history="1">
            <w:r w:rsidRPr="008A5CDD">
              <w:rPr>
                <w:rStyle w:val="Hipervnculo"/>
                <w:noProof/>
              </w:rPr>
              <w:t>10.3.</w:t>
            </w:r>
            <w:r>
              <w:rPr>
                <w:noProof/>
              </w:rPr>
              <w:tab/>
            </w:r>
            <w:r w:rsidRPr="008A5CDD">
              <w:rPr>
                <w:rStyle w:val="Hipervnculo"/>
                <w:noProof/>
              </w:rPr>
              <w:t>Un diagnóstico</w:t>
            </w:r>
            <w:r>
              <w:rPr>
                <w:noProof/>
                <w:webHidden/>
              </w:rPr>
              <w:tab/>
            </w:r>
            <w:r>
              <w:rPr>
                <w:noProof/>
                <w:webHidden/>
              </w:rPr>
              <w:fldChar w:fldCharType="begin"/>
            </w:r>
            <w:r>
              <w:rPr>
                <w:noProof/>
                <w:webHidden/>
              </w:rPr>
              <w:instrText xml:space="preserve"> PAGEREF _Toc341866748 \h </w:instrText>
            </w:r>
            <w:r>
              <w:rPr>
                <w:noProof/>
                <w:webHidden/>
              </w:rPr>
            </w:r>
            <w:r>
              <w:rPr>
                <w:noProof/>
                <w:webHidden/>
              </w:rPr>
              <w:fldChar w:fldCharType="separate"/>
            </w:r>
            <w:r>
              <w:rPr>
                <w:noProof/>
                <w:webHidden/>
              </w:rPr>
              <w:t>43</w:t>
            </w:r>
            <w:r>
              <w:rPr>
                <w:noProof/>
                <w:webHidden/>
              </w:rPr>
              <w:fldChar w:fldCharType="end"/>
            </w:r>
          </w:hyperlink>
        </w:p>
        <w:p w:rsidR="0092318E" w:rsidRDefault="0092318E">
          <w:pPr>
            <w:pStyle w:val="TDC2"/>
            <w:tabs>
              <w:tab w:val="left" w:pos="1100"/>
              <w:tab w:val="right" w:leader="dot" w:pos="8828"/>
            </w:tabs>
            <w:rPr>
              <w:noProof/>
            </w:rPr>
          </w:pPr>
          <w:hyperlink w:anchor="_Toc341866749" w:history="1">
            <w:r w:rsidRPr="008A5CDD">
              <w:rPr>
                <w:rStyle w:val="Hipervnculo"/>
                <w:noProof/>
              </w:rPr>
              <w:t>10.4.</w:t>
            </w:r>
            <w:r>
              <w:rPr>
                <w:noProof/>
              </w:rPr>
              <w:tab/>
            </w:r>
            <w:r w:rsidRPr="008A5CDD">
              <w:rPr>
                <w:rStyle w:val="Hipervnculo"/>
                <w:noProof/>
              </w:rPr>
              <w:t>Tipo de deudores y tipo de institución de estudios superiores</w:t>
            </w:r>
            <w:r>
              <w:rPr>
                <w:noProof/>
                <w:webHidden/>
              </w:rPr>
              <w:tab/>
            </w:r>
            <w:r>
              <w:rPr>
                <w:noProof/>
                <w:webHidden/>
              </w:rPr>
              <w:fldChar w:fldCharType="begin"/>
            </w:r>
            <w:r>
              <w:rPr>
                <w:noProof/>
                <w:webHidden/>
              </w:rPr>
              <w:instrText xml:space="preserve"> PAGEREF _Toc341866749 \h </w:instrText>
            </w:r>
            <w:r>
              <w:rPr>
                <w:noProof/>
                <w:webHidden/>
              </w:rPr>
            </w:r>
            <w:r>
              <w:rPr>
                <w:noProof/>
                <w:webHidden/>
              </w:rPr>
              <w:fldChar w:fldCharType="separate"/>
            </w:r>
            <w:r>
              <w:rPr>
                <w:noProof/>
                <w:webHidden/>
              </w:rPr>
              <w:t>43</w:t>
            </w:r>
            <w:r>
              <w:rPr>
                <w:noProof/>
                <w:webHidden/>
              </w:rPr>
              <w:fldChar w:fldCharType="end"/>
            </w:r>
          </w:hyperlink>
        </w:p>
        <w:p w:rsidR="0092318E" w:rsidRDefault="0092318E">
          <w:pPr>
            <w:pStyle w:val="TDC2"/>
            <w:tabs>
              <w:tab w:val="left" w:pos="1100"/>
              <w:tab w:val="right" w:leader="dot" w:pos="8828"/>
            </w:tabs>
            <w:rPr>
              <w:noProof/>
            </w:rPr>
          </w:pPr>
          <w:hyperlink w:anchor="_Toc341866750" w:history="1">
            <w:r w:rsidRPr="008A5CDD">
              <w:rPr>
                <w:rStyle w:val="Hipervnculo"/>
                <w:noProof/>
              </w:rPr>
              <w:t>10.5.</w:t>
            </w:r>
            <w:r>
              <w:rPr>
                <w:noProof/>
              </w:rPr>
              <w:tab/>
            </w:r>
            <w:r w:rsidRPr="008A5CDD">
              <w:rPr>
                <w:rStyle w:val="Hipervnculo"/>
                <w:noProof/>
              </w:rPr>
              <w:t>Registro de instituciones colaboradoras de las municipalidades, receptoras de profesionales beneficiarios</w:t>
            </w:r>
            <w:r>
              <w:rPr>
                <w:noProof/>
                <w:webHidden/>
              </w:rPr>
              <w:tab/>
            </w:r>
            <w:r>
              <w:rPr>
                <w:noProof/>
                <w:webHidden/>
              </w:rPr>
              <w:fldChar w:fldCharType="begin"/>
            </w:r>
            <w:r>
              <w:rPr>
                <w:noProof/>
                <w:webHidden/>
              </w:rPr>
              <w:instrText xml:space="preserve"> PAGEREF _Toc341866750 \h </w:instrText>
            </w:r>
            <w:r>
              <w:rPr>
                <w:noProof/>
                <w:webHidden/>
              </w:rPr>
            </w:r>
            <w:r>
              <w:rPr>
                <w:noProof/>
                <w:webHidden/>
              </w:rPr>
              <w:fldChar w:fldCharType="separate"/>
            </w:r>
            <w:r>
              <w:rPr>
                <w:noProof/>
                <w:webHidden/>
              </w:rPr>
              <w:t>44</w:t>
            </w:r>
            <w:r>
              <w:rPr>
                <w:noProof/>
                <w:webHidden/>
              </w:rPr>
              <w:fldChar w:fldCharType="end"/>
            </w:r>
          </w:hyperlink>
        </w:p>
        <w:p w:rsidR="0092318E" w:rsidRDefault="0092318E">
          <w:pPr>
            <w:pStyle w:val="TDC2"/>
            <w:tabs>
              <w:tab w:val="left" w:pos="1100"/>
              <w:tab w:val="right" w:leader="dot" w:pos="8828"/>
            </w:tabs>
            <w:rPr>
              <w:noProof/>
            </w:rPr>
          </w:pPr>
          <w:hyperlink w:anchor="_Toc341866751" w:history="1">
            <w:r w:rsidRPr="008A5CDD">
              <w:rPr>
                <w:rStyle w:val="Hipervnculo"/>
                <w:noProof/>
              </w:rPr>
              <w:t>10.6.</w:t>
            </w:r>
            <w:r>
              <w:rPr>
                <w:noProof/>
              </w:rPr>
              <w:tab/>
            </w:r>
            <w:r w:rsidRPr="008A5CDD">
              <w:rPr>
                <w:rStyle w:val="Hipervnculo"/>
                <w:noProof/>
              </w:rPr>
              <w:t>Continuidad</w:t>
            </w:r>
            <w:r>
              <w:rPr>
                <w:noProof/>
                <w:webHidden/>
              </w:rPr>
              <w:tab/>
            </w:r>
            <w:r>
              <w:rPr>
                <w:noProof/>
                <w:webHidden/>
              </w:rPr>
              <w:fldChar w:fldCharType="begin"/>
            </w:r>
            <w:r>
              <w:rPr>
                <w:noProof/>
                <w:webHidden/>
              </w:rPr>
              <w:instrText xml:space="preserve"> PAGEREF _Toc341866751 \h </w:instrText>
            </w:r>
            <w:r>
              <w:rPr>
                <w:noProof/>
                <w:webHidden/>
              </w:rPr>
            </w:r>
            <w:r>
              <w:rPr>
                <w:noProof/>
                <w:webHidden/>
              </w:rPr>
              <w:fldChar w:fldCharType="separate"/>
            </w:r>
            <w:r>
              <w:rPr>
                <w:noProof/>
                <w:webHidden/>
              </w:rPr>
              <w:t>44</w:t>
            </w:r>
            <w:r>
              <w:rPr>
                <w:noProof/>
                <w:webHidden/>
              </w:rPr>
              <w:fldChar w:fldCharType="end"/>
            </w:r>
          </w:hyperlink>
        </w:p>
        <w:p w:rsidR="0092318E" w:rsidRDefault="0092318E">
          <w:pPr>
            <w:pStyle w:val="TDC2"/>
            <w:tabs>
              <w:tab w:val="left" w:pos="1100"/>
              <w:tab w:val="right" w:leader="dot" w:pos="8828"/>
            </w:tabs>
            <w:rPr>
              <w:noProof/>
            </w:rPr>
          </w:pPr>
          <w:hyperlink w:anchor="_Toc341866752" w:history="1">
            <w:r w:rsidRPr="008A5CDD">
              <w:rPr>
                <w:rStyle w:val="Hipervnculo"/>
                <w:noProof/>
              </w:rPr>
              <w:t>10.7.</w:t>
            </w:r>
            <w:r>
              <w:rPr>
                <w:noProof/>
              </w:rPr>
              <w:tab/>
            </w:r>
            <w:r w:rsidRPr="008A5CDD">
              <w:rPr>
                <w:rStyle w:val="Hipervnculo"/>
                <w:noProof/>
              </w:rPr>
              <w:t>El beneficio como atractivo y no como premio</w:t>
            </w:r>
            <w:r>
              <w:rPr>
                <w:noProof/>
                <w:webHidden/>
              </w:rPr>
              <w:tab/>
            </w:r>
            <w:r>
              <w:rPr>
                <w:noProof/>
                <w:webHidden/>
              </w:rPr>
              <w:fldChar w:fldCharType="begin"/>
            </w:r>
            <w:r>
              <w:rPr>
                <w:noProof/>
                <w:webHidden/>
              </w:rPr>
              <w:instrText xml:space="preserve"> PAGEREF _Toc341866752 \h </w:instrText>
            </w:r>
            <w:r>
              <w:rPr>
                <w:noProof/>
                <w:webHidden/>
              </w:rPr>
            </w:r>
            <w:r>
              <w:rPr>
                <w:noProof/>
                <w:webHidden/>
              </w:rPr>
              <w:fldChar w:fldCharType="separate"/>
            </w:r>
            <w:r>
              <w:rPr>
                <w:noProof/>
                <w:webHidden/>
              </w:rPr>
              <w:t>44</w:t>
            </w:r>
            <w:r>
              <w:rPr>
                <w:noProof/>
                <w:webHidden/>
              </w:rPr>
              <w:fldChar w:fldCharType="end"/>
            </w:r>
          </w:hyperlink>
        </w:p>
        <w:p w:rsidR="0092318E" w:rsidRDefault="0092318E">
          <w:pPr>
            <w:pStyle w:val="TDC2"/>
            <w:tabs>
              <w:tab w:val="left" w:pos="1100"/>
              <w:tab w:val="right" w:leader="dot" w:pos="8828"/>
            </w:tabs>
            <w:rPr>
              <w:noProof/>
            </w:rPr>
          </w:pPr>
          <w:hyperlink w:anchor="_Toc341866753" w:history="1">
            <w:r w:rsidRPr="008A5CDD">
              <w:rPr>
                <w:rStyle w:val="Hipervnculo"/>
                <w:noProof/>
              </w:rPr>
              <w:t>10.8.</w:t>
            </w:r>
            <w:r>
              <w:rPr>
                <w:noProof/>
              </w:rPr>
              <w:tab/>
            </w:r>
            <w:r w:rsidRPr="008A5CDD">
              <w:rPr>
                <w:rStyle w:val="Hipervnculo"/>
                <w:noProof/>
              </w:rPr>
              <w:t>Beneficio para la comuna: tarea para el municipio</w:t>
            </w:r>
            <w:r>
              <w:rPr>
                <w:noProof/>
                <w:webHidden/>
              </w:rPr>
              <w:tab/>
            </w:r>
            <w:r>
              <w:rPr>
                <w:noProof/>
                <w:webHidden/>
              </w:rPr>
              <w:fldChar w:fldCharType="begin"/>
            </w:r>
            <w:r>
              <w:rPr>
                <w:noProof/>
                <w:webHidden/>
              </w:rPr>
              <w:instrText xml:space="preserve"> PAGEREF _Toc341866753 \h </w:instrText>
            </w:r>
            <w:r>
              <w:rPr>
                <w:noProof/>
                <w:webHidden/>
              </w:rPr>
            </w:r>
            <w:r>
              <w:rPr>
                <w:noProof/>
                <w:webHidden/>
              </w:rPr>
              <w:fldChar w:fldCharType="separate"/>
            </w:r>
            <w:r>
              <w:rPr>
                <w:noProof/>
                <w:webHidden/>
              </w:rPr>
              <w:t>44</w:t>
            </w:r>
            <w:r>
              <w:rPr>
                <w:noProof/>
                <w:webHidden/>
              </w:rPr>
              <w:fldChar w:fldCharType="end"/>
            </w:r>
          </w:hyperlink>
        </w:p>
        <w:p w:rsidR="0092318E" w:rsidRDefault="0092318E">
          <w:pPr>
            <w:pStyle w:val="TDC2"/>
            <w:tabs>
              <w:tab w:val="left" w:pos="1100"/>
              <w:tab w:val="right" w:leader="dot" w:pos="8828"/>
            </w:tabs>
            <w:rPr>
              <w:noProof/>
            </w:rPr>
          </w:pPr>
          <w:hyperlink w:anchor="_Toc341866754" w:history="1">
            <w:r w:rsidRPr="008A5CDD">
              <w:rPr>
                <w:rStyle w:val="Hipervnculo"/>
                <w:noProof/>
              </w:rPr>
              <w:t>10.9.</w:t>
            </w:r>
            <w:r>
              <w:rPr>
                <w:noProof/>
              </w:rPr>
              <w:tab/>
            </w:r>
            <w:r w:rsidRPr="008A5CDD">
              <w:rPr>
                <w:rStyle w:val="Hipervnculo"/>
                <w:noProof/>
              </w:rPr>
              <w:t>Financiamiento para los municipios</w:t>
            </w:r>
            <w:r>
              <w:rPr>
                <w:noProof/>
                <w:webHidden/>
              </w:rPr>
              <w:tab/>
            </w:r>
            <w:r>
              <w:rPr>
                <w:noProof/>
                <w:webHidden/>
              </w:rPr>
              <w:fldChar w:fldCharType="begin"/>
            </w:r>
            <w:r>
              <w:rPr>
                <w:noProof/>
                <w:webHidden/>
              </w:rPr>
              <w:instrText xml:space="preserve"> PAGEREF _Toc341866754 \h </w:instrText>
            </w:r>
            <w:r>
              <w:rPr>
                <w:noProof/>
                <w:webHidden/>
              </w:rPr>
            </w:r>
            <w:r>
              <w:rPr>
                <w:noProof/>
                <w:webHidden/>
              </w:rPr>
              <w:fldChar w:fldCharType="separate"/>
            </w:r>
            <w:r>
              <w:rPr>
                <w:noProof/>
                <w:webHidden/>
              </w:rPr>
              <w:t>45</w:t>
            </w:r>
            <w:r>
              <w:rPr>
                <w:noProof/>
                <w:webHidden/>
              </w:rPr>
              <w:fldChar w:fldCharType="end"/>
            </w:r>
          </w:hyperlink>
        </w:p>
        <w:p w:rsidR="0092318E" w:rsidRDefault="0092318E">
          <w:pPr>
            <w:pStyle w:val="TDC2"/>
            <w:tabs>
              <w:tab w:val="left" w:pos="1100"/>
              <w:tab w:val="right" w:leader="dot" w:pos="8828"/>
            </w:tabs>
            <w:rPr>
              <w:noProof/>
            </w:rPr>
          </w:pPr>
          <w:hyperlink w:anchor="_Toc341866755" w:history="1">
            <w:r w:rsidRPr="008A5CDD">
              <w:rPr>
                <w:rStyle w:val="Hipervnculo"/>
                <w:noProof/>
              </w:rPr>
              <w:t>10.10.</w:t>
            </w:r>
            <w:r>
              <w:rPr>
                <w:noProof/>
              </w:rPr>
              <w:tab/>
            </w:r>
            <w:r w:rsidRPr="008A5CDD">
              <w:rPr>
                <w:rStyle w:val="Hipervnculo"/>
                <w:noProof/>
              </w:rPr>
              <w:t>Difusión</w:t>
            </w:r>
            <w:r>
              <w:rPr>
                <w:noProof/>
                <w:webHidden/>
              </w:rPr>
              <w:tab/>
            </w:r>
            <w:r>
              <w:rPr>
                <w:noProof/>
                <w:webHidden/>
              </w:rPr>
              <w:fldChar w:fldCharType="begin"/>
            </w:r>
            <w:r>
              <w:rPr>
                <w:noProof/>
                <w:webHidden/>
              </w:rPr>
              <w:instrText xml:space="preserve"> PAGEREF _Toc341866755 \h </w:instrText>
            </w:r>
            <w:r>
              <w:rPr>
                <w:noProof/>
                <w:webHidden/>
              </w:rPr>
            </w:r>
            <w:r>
              <w:rPr>
                <w:noProof/>
                <w:webHidden/>
              </w:rPr>
              <w:fldChar w:fldCharType="separate"/>
            </w:r>
            <w:r>
              <w:rPr>
                <w:noProof/>
                <w:webHidden/>
              </w:rPr>
              <w:t>45</w:t>
            </w:r>
            <w:r>
              <w:rPr>
                <w:noProof/>
                <w:webHidden/>
              </w:rPr>
              <w:fldChar w:fldCharType="end"/>
            </w:r>
          </w:hyperlink>
        </w:p>
        <w:p w:rsidR="0092318E" w:rsidRDefault="0092318E">
          <w:pPr>
            <w:pStyle w:val="TDC2"/>
            <w:tabs>
              <w:tab w:val="left" w:pos="1100"/>
              <w:tab w:val="right" w:leader="dot" w:pos="8828"/>
            </w:tabs>
            <w:rPr>
              <w:noProof/>
            </w:rPr>
          </w:pPr>
          <w:hyperlink w:anchor="_Toc341866756" w:history="1">
            <w:r w:rsidRPr="008A5CDD">
              <w:rPr>
                <w:rStyle w:val="Hipervnculo"/>
                <w:noProof/>
              </w:rPr>
              <w:t>10.11.</w:t>
            </w:r>
            <w:r>
              <w:rPr>
                <w:noProof/>
              </w:rPr>
              <w:tab/>
            </w:r>
            <w:r w:rsidRPr="008A5CDD">
              <w:rPr>
                <w:rStyle w:val="Hipervnculo"/>
                <w:noProof/>
              </w:rPr>
              <w:t>Plazos de postulación y entrega del beneficio</w:t>
            </w:r>
            <w:r>
              <w:rPr>
                <w:noProof/>
                <w:webHidden/>
              </w:rPr>
              <w:tab/>
            </w:r>
            <w:r>
              <w:rPr>
                <w:noProof/>
                <w:webHidden/>
              </w:rPr>
              <w:fldChar w:fldCharType="begin"/>
            </w:r>
            <w:r>
              <w:rPr>
                <w:noProof/>
                <w:webHidden/>
              </w:rPr>
              <w:instrText xml:space="preserve"> PAGEREF _Toc341866756 \h </w:instrText>
            </w:r>
            <w:r>
              <w:rPr>
                <w:noProof/>
                <w:webHidden/>
              </w:rPr>
            </w:r>
            <w:r>
              <w:rPr>
                <w:noProof/>
                <w:webHidden/>
              </w:rPr>
              <w:fldChar w:fldCharType="separate"/>
            </w:r>
            <w:r>
              <w:rPr>
                <w:noProof/>
                <w:webHidden/>
              </w:rPr>
              <w:t>45</w:t>
            </w:r>
            <w:r>
              <w:rPr>
                <w:noProof/>
                <w:webHidden/>
              </w:rPr>
              <w:fldChar w:fldCharType="end"/>
            </w:r>
          </w:hyperlink>
        </w:p>
        <w:p w:rsidR="0092318E" w:rsidRDefault="0092318E">
          <w:pPr>
            <w:pStyle w:val="TDC2"/>
            <w:tabs>
              <w:tab w:val="left" w:pos="1100"/>
              <w:tab w:val="right" w:leader="dot" w:pos="8828"/>
            </w:tabs>
            <w:rPr>
              <w:noProof/>
            </w:rPr>
          </w:pPr>
          <w:hyperlink w:anchor="_Toc341866757" w:history="1">
            <w:r w:rsidRPr="008A5CDD">
              <w:rPr>
                <w:rStyle w:val="Hipervnculo"/>
                <w:noProof/>
              </w:rPr>
              <w:t>10.12.</w:t>
            </w:r>
            <w:r>
              <w:rPr>
                <w:noProof/>
              </w:rPr>
              <w:tab/>
            </w:r>
            <w:r w:rsidRPr="008A5CDD">
              <w:rPr>
                <w:rStyle w:val="Hipervnculo"/>
                <w:noProof/>
              </w:rPr>
              <w:t>Montos del beneficio</w:t>
            </w:r>
            <w:r>
              <w:rPr>
                <w:noProof/>
                <w:webHidden/>
              </w:rPr>
              <w:tab/>
            </w:r>
            <w:r>
              <w:rPr>
                <w:noProof/>
                <w:webHidden/>
              </w:rPr>
              <w:fldChar w:fldCharType="begin"/>
            </w:r>
            <w:r>
              <w:rPr>
                <w:noProof/>
                <w:webHidden/>
              </w:rPr>
              <w:instrText xml:space="preserve"> PAGEREF _Toc341866757 \h </w:instrText>
            </w:r>
            <w:r>
              <w:rPr>
                <w:noProof/>
                <w:webHidden/>
              </w:rPr>
            </w:r>
            <w:r>
              <w:rPr>
                <w:noProof/>
                <w:webHidden/>
              </w:rPr>
              <w:fldChar w:fldCharType="separate"/>
            </w:r>
            <w:r>
              <w:rPr>
                <w:noProof/>
                <w:webHidden/>
              </w:rPr>
              <w:t>46</w:t>
            </w:r>
            <w:r>
              <w:rPr>
                <w:noProof/>
                <w:webHidden/>
              </w:rPr>
              <w:fldChar w:fldCharType="end"/>
            </w:r>
          </w:hyperlink>
        </w:p>
        <w:p w:rsidR="0092318E" w:rsidRDefault="0092318E">
          <w:pPr>
            <w:pStyle w:val="TDC2"/>
            <w:tabs>
              <w:tab w:val="left" w:pos="1100"/>
              <w:tab w:val="right" w:leader="dot" w:pos="8828"/>
            </w:tabs>
            <w:rPr>
              <w:noProof/>
            </w:rPr>
          </w:pPr>
          <w:hyperlink w:anchor="_Toc341866758" w:history="1">
            <w:r w:rsidRPr="008A5CDD">
              <w:rPr>
                <w:rStyle w:val="Hipervnculo"/>
                <w:noProof/>
              </w:rPr>
              <w:t>10.13.</w:t>
            </w:r>
            <w:r>
              <w:rPr>
                <w:noProof/>
              </w:rPr>
              <w:tab/>
            </w:r>
            <w:r w:rsidRPr="008A5CDD">
              <w:rPr>
                <w:rStyle w:val="Hipervnculo"/>
                <w:noProof/>
              </w:rPr>
              <w:t>Capacitación para la aplicación de la Ley</w:t>
            </w:r>
            <w:r>
              <w:rPr>
                <w:noProof/>
                <w:webHidden/>
              </w:rPr>
              <w:tab/>
            </w:r>
            <w:r>
              <w:rPr>
                <w:noProof/>
                <w:webHidden/>
              </w:rPr>
              <w:fldChar w:fldCharType="begin"/>
            </w:r>
            <w:r>
              <w:rPr>
                <w:noProof/>
                <w:webHidden/>
              </w:rPr>
              <w:instrText xml:space="preserve"> PAGEREF _Toc341866758 \h </w:instrText>
            </w:r>
            <w:r>
              <w:rPr>
                <w:noProof/>
                <w:webHidden/>
              </w:rPr>
            </w:r>
            <w:r>
              <w:rPr>
                <w:noProof/>
                <w:webHidden/>
              </w:rPr>
              <w:fldChar w:fldCharType="separate"/>
            </w:r>
            <w:r>
              <w:rPr>
                <w:noProof/>
                <w:webHidden/>
              </w:rPr>
              <w:t>46</w:t>
            </w:r>
            <w:r>
              <w:rPr>
                <w:noProof/>
                <w:webHidden/>
              </w:rPr>
              <w:fldChar w:fldCharType="end"/>
            </w:r>
          </w:hyperlink>
        </w:p>
        <w:p w:rsidR="0092318E" w:rsidRDefault="0092318E">
          <w:pPr>
            <w:pStyle w:val="TDC2"/>
            <w:tabs>
              <w:tab w:val="left" w:pos="1100"/>
              <w:tab w:val="right" w:leader="dot" w:pos="8828"/>
            </w:tabs>
            <w:rPr>
              <w:noProof/>
            </w:rPr>
          </w:pPr>
          <w:hyperlink w:anchor="_Toc341866759" w:history="1">
            <w:r w:rsidRPr="008A5CDD">
              <w:rPr>
                <w:rStyle w:val="Hipervnculo"/>
                <w:noProof/>
              </w:rPr>
              <w:t>10.14.</w:t>
            </w:r>
            <w:r>
              <w:rPr>
                <w:noProof/>
              </w:rPr>
              <w:tab/>
            </w:r>
            <w:r w:rsidRPr="008A5CDD">
              <w:rPr>
                <w:rStyle w:val="Hipervnculo"/>
                <w:noProof/>
              </w:rPr>
              <w:t>Transición</w:t>
            </w:r>
            <w:r>
              <w:rPr>
                <w:noProof/>
                <w:webHidden/>
              </w:rPr>
              <w:tab/>
            </w:r>
            <w:r>
              <w:rPr>
                <w:noProof/>
                <w:webHidden/>
              </w:rPr>
              <w:fldChar w:fldCharType="begin"/>
            </w:r>
            <w:r>
              <w:rPr>
                <w:noProof/>
                <w:webHidden/>
              </w:rPr>
              <w:instrText xml:space="preserve"> PAGEREF _Toc341866759 \h </w:instrText>
            </w:r>
            <w:r>
              <w:rPr>
                <w:noProof/>
                <w:webHidden/>
              </w:rPr>
            </w:r>
            <w:r>
              <w:rPr>
                <w:noProof/>
                <w:webHidden/>
              </w:rPr>
              <w:fldChar w:fldCharType="separate"/>
            </w:r>
            <w:r>
              <w:rPr>
                <w:noProof/>
                <w:webHidden/>
              </w:rPr>
              <w:t>46</w:t>
            </w:r>
            <w:r>
              <w:rPr>
                <w:noProof/>
                <w:webHidden/>
              </w:rPr>
              <w:fldChar w:fldCharType="end"/>
            </w:r>
          </w:hyperlink>
        </w:p>
        <w:p w:rsidR="004B16CA" w:rsidRDefault="004B16CA">
          <w:r>
            <w:rPr>
              <w:b/>
              <w:bCs/>
              <w:lang w:val="es-ES"/>
            </w:rPr>
            <w:fldChar w:fldCharType="end"/>
          </w:r>
        </w:p>
      </w:sdtContent>
    </w:sdt>
    <w:p w:rsidR="00FC3447" w:rsidRDefault="00EA5E4B" w:rsidP="009B6D95">
      <w:pPr>
        <w:pStyle w:val="Ttulo1"/>
        <w:numPr>
          <w:ilvl w:val="0"/>
          <w:numId w:val="5"/>
        </w:numPr>
      </w:pPr>
      <w:bookmarkStart w:id="0" w:name="_Toc341866702"/>
      <w:r w:rsidRPr="008541DC">
        <w:lastRenderedPageBreak/>
        <w:t>ANTECEDENTES</w:t>
      </w:r>
      <w:bookmarkStart w:id="1" w:name="_GoBack"/>
      <w:bookmarkEnd w:id="0"/>
      <w:bookmarkEnd w:id="1"/>
    </w:p>
    <w:p w:rsidR="00E93387" w:rsidRDefault="00E93387" w:rsidP="00682A1A">
      <w:pPr>
        <w:pStyle w:val="Prrafodelista"/>
        <w:spacing w:after="0" w:line="240" w:lineRule="auto"/>
        <w:ind w:left="360"/>
        <w:jc w:val="both"/>
        <w:rPr>
          <w:b/>
        </w:rPr>
      </w:pPr>
    </w:p>
    <w:p w:rsidR="004B7093" w:rsidRPr="009B6D95" w:rsidRDefault="0038276C" w:rsidP="009B6D95">
      <w:pPr>
        <w:pStyle w:val="Ttulo2"/>
      </w:pPr>
      <w:bookmarkStart w:id="2" w:name="_Toc341866703"/>
      <w:r>
        <w:t>Objeto de la Ley Nº 20.330</w:t>
      </w:r>
      <w:bookmarkEnd w:id="2"/>
    </w:p>
    <w:p w:rsidR="00682A1A" w:rsidRPr="00682A1A" w:rsidRDefault="00682A1A" w:rsidP="00682A1A">
      <w:pPr>
        <w:spacing w:after="0" w:line="240" w:lineRule="auto"/>
        <w:jc w:val="both"/>
        <w:rPr>
          <w:b/>
        </w:rPr>
      </w:pPr>
    </w:p>
    <w:p w:rsidR="0038276C" w:rsidRDefault="0038276C" w:rsidP="0038276C">
      <w:pPr>
        <w:spacing w:after="0" w:line="240" w:lineRule="auto"/>
        <w:jc w:val="both"/>
      </w:pPr>
      <w:r>
        <w:t>El 25 de febrero de 2009 entra en vigencia la Ley Nº 20.330</w:t>
      </w:r>
      <w:r>
        <w:rPr>
          <w:rStyle w:val="Refdenotaalpie"/>
        </w:rPr>
        <w:footnoteReference w:id="1"/>
      </w:r>
      <w:r>
        <w:t>, del Ministerio de Educación, que “</w:t>
      </w:r>
      <w:r w:rsidRPr="00FC3447">
        <w:t>fomenta que profesionales y técnicos jóvenes presten servicios en las comunas con menores niveles de desarrollo del país</w:t>
      </w:r>
      <w:r>
        <w:t>”.</w:t>
      </w:r>
    </w:p>
    <w:p w:rsidR="00682A1A" w:rsidRDefault="00682A1A" w:rsidP="00682A1A">
      <w:pPr>
        <w:spacing w:after="0" w:line="240" w:lineRule="auto"/>
        <w:jc w:val="both"/>
      </w:pPr>
    </w:p>
    <w:p w:rsidR="00EB54E8" w:rsidRDefault="0038276C" w:rsidP="00682A1A">
      <w:pPr>
        <w:spacing w:after="0" w:line="240" w:lineRule="auto"/>
        <w:jc w:val="both"/>
      </w:pPr>
      <w:r>
        <w:t>Los objetivos planteados en el Proyecto de Ley (2006) se pueden resumir como sigue:</w:t>
      </w:r>
    </w:p>
    <w:p w:rsidR="00682A1A" w:rsidRDefault="00682A1A" w:rsidP="00682A1A">
      <w:pPr>
        <w:pStyle w:val="Prrafodelista"/>
        <w:spacing w:after="0" w:line="240" w:lineRule="auto"/>
        <w:jc w:val="both"/>
      </w:pPr>
    </w:p>
    <w:p w:rsidR="00D06AF6" w:rsidRDefault="00D06AF6" w:rsidP="00682A1A">
      <w:pPr>
        <w:pStyle w:val="Prrafodelista"/>
        <w:numPr>
          <w:ilvl w:val="0"/>
          <w:numId w:val="1"/>
        </w:numPr>
        <w:spacing w:after="0" w:line="240" w:lineRule="auto"/>
        <w:jc w:val="both"/>
      </w:pPr>
      <w:r>
        <w:t>Q</w:t>
      </w:r>
      <w:r w:rsidR="000351AE">
        <w:t xml:space="preserve">ue aquellas comunas especialmente rezagadas, puedan acceder a recursos humanos calificados </w:t>
      </w:r>
      <w:r w:rsidR="00F957EB">
        <w:t>“</w:t>
      </w:r>
      <w:r w:rsidR="000351AE" w:rsidRPr="00F957EB">
        <w:rPr>
          <w:b/>
        </w:rPr>
        <w:t xml:space="preserve">para la generación y gestión de proyectos </w:t>
      </w:r>
      <w:r w:rsidR="000351AE" w:rsidRPr="00F64E2A">
        <w:t>de desarrollo social, productivo y territorial</w:t>
      </w:r>
      <w:r w:rsidR="00F957EB" w:rsidRPr="00F957EB">
        <w:t>”</w:t>
      </w:r>
      <w:r w:rsidR="000351AE">
        <w:t>.</w:t>
      </w:r>
      <w:r w:rsidR="00F957EB" w:rsidRPr="00F957EB">
        <w:rPr>
          <w:rStyle w:val="Refdenotaalpie"/>
          <w:b/>
        </w:rPr>
        <w:t xml:space="preserve"> </w:t>
      </w:r>
      <w:r w:rsidR="00F957EB" w:rsidRPr="00F957EB">
        <w:rPr>
          <w:rStyle w:val="Refdenotaalpie"/>
        </w:rPr>
        <w:footnoteReference w:id="2"/>
      </w:r>
    </w:p>
    <w:p w:rsidR="000351AE" w:rsidRDefault="00F957EB" w:rsidP="00682A1A">
      <w:pPr>
        <w:pStyle w:val="Prrafodelista"/>
        <w:numPr>
          <w:ilvl w:val="0"/>
          <w:numId w:val="1"/>
        </w:numPr>
        <w:spacing w:after="0" w:line="240" w:lineRule="auto"/>
        <w:jc w:val="both"/>
      </w:pPr>
      <w:r>
        <w:t>“</w:t>
      </w:r>
      <w:r w:rsidR="00D06AF6">
        <w:t>A</w:t>
      </w:r>
      <w:r w:rsidR="000351AE">
        <w:t xml:space="preserve">liviar la carga financiera de aquellos </w:t>
      </w:r>
      <w:r w:rsidR="000351AE" w:rsidRPr="00F957EB">
        <w:rPr>
          <w:b/>
        </w:rPr>
        <w:t>profesionales y técnicos jóvenes</w:t>
      </w:r>
      <w:r w:rsidR="000351AE">
        <w:t xml:space="preserve"> que hayan financiado sus estudios a través del crédito solidario universitario regulado por la ley N° 19.287, o a través del crédito para estudios de educación superior a que se refiere la ley Nº 20.027</w:t>
      </w:r>
      <w:r>
        <w:t>”</w:t>
      </w:r>
      <w:r w:rsidR="000351AE">
        <w:t>.</w:t>
      </w:r>
      <w:r>
        <w:rPr>
          <w:rStyle w:val="Refdenotaalpie"/>
        </w:rPr>
        <w:footnoteReference w:id="3"/>
      </w:r>
    </w:p>
    <w:p w:rsidR="00682A1A" w:rsidRDefault="00682A1A" w:rsidP="00682A1A">
      <w:pPr>
        <w:spacing w:after="0" w:line="240" w:lineRule="auto"/>
        <w:ind w:left="360"/>
        <w:jc w:val="both"/>
      </w:pPr>
    </w:p>
    <w:p w:rsidR="00F63F8A" w:rsidRDefault="00F64E2A" w:rsidP="00FD57AE">
      <w:pPr>
        <w:spacing w:after="0" w:line="240" w:lineRule="auto"/>
        <w:jc w:val="both"/>
      </w:pPr>
      <w:r>
        <w:t>A su vez,</w:t>
      </w:r>
      <w:r w:rsidR="004700E0">
        <w:t xml:space="preserve"> el mensaje plantea</w:t>
      </w:r>
      <w:r w:rsidR="0038276C">
        <w:t>ba</w:t>
      </w:r>
      <w:r w:rsidR="004700E0">
        <w:t xml:space="preserve"> que “en los últimos quince años se han dado importantes pasos para revertir el histórico centralismo que ha imperado en nuestro país”, los que “representan una base para que las comunas de Chile puedan dar un salto en su desarrollo. Así, el desafío de hoy es que las comunas dispongan de las capacidades y las herramientas para gestionar su destino, aprovechando sus ventajas comparativas. Para esto, se hace indispensable </w:t>
      </w:r>
      <w:r w:rsidR="004700E0" w:rsidRPr="004700E0">
        <w:rPr>
          <w:b/>
        </w:rPr>
        <w:t>fomentar</w:t>
      </w:r>
      <w:r w:rsidR="002944CD">
        <w:rPr>
          <w:rStyle w:val="Refdenotaalpie"/>
          <w:b/>
        </w:rPr>
        <w:footnoteReference w:id="4"/>
      </w:r>
      <w:r w:rsidR="004700E0">
        <w:t xml:space="preserve"> que nuestros recursos más valiosos, los recursos humanos, aporten su conocimiento a lo largo y ancho de todo Chile”</w:t>
      </w:r>
      <w:r w:rsidR="00FD57AE">
        <w:t>.</w:t>
      </w:r>
    </w:p>
    <w:p w:rsidR="00EB16CC" w:rsidRDefault="00EB16CC" w:rsidP="00FD57AE">
      <w:pPr>
        <w:spacing w:after="0" w:line="240" w:lineRule="auto"/>
        <w:jc w:val="both"/>
      </w:pPr>
    </w:p>
    <w:p w:rsidR="004B7093" w:rsidRPr="009B6D95" w:rsidRDefault="0038276C" w:rsidP="009B6D95">
      <w:pPr>
        <w:pStyle w:val="Ttulo2"/>
      </w:pPr>
      <w:bookmarkStart w:id="3" w:name="_Toc341866704"/>
      <w:r>
        <w:t>Contenidos generales de la L</w:t>
      </w:r>
      <w:r w:rsidR="004B7093" w:rsidRPr="009B6D95">
        <w:t>ey</w:t>
      </w:r>
      <w:r>
        <w:t xml:space="preserve"> Nº 20.330</w:t>
      </w:r>
      <w:bookmarkEnd w:id="3"/>
    </w:p>
    <w:p w:rsidR="00682A1A" w:rsidRPr="00682A1A" w:rsidRDefault="00682A1A" w:rsidP="00682A1A">
      <w:pPr>
        <w:spacing w:after="0" w:line="240" w:lineRule="auto"/>
        <w:jc w:val="both"/>
        <w:rPr>
          <w:b/>
        </w:rPr>
      </w:pPr>
    </w:p>
    <w:p w:rsidR="008546F6" w:rsidRDefault="002A72EF" w:rsidP="00682A1A">
      <w:pPr>
        <w:spacing w:after="0" w:line="240" w:lineRule="auto"/>
        <w:jc w:val="both"/>
      </w:pPr>
      <w:r>
        <w:t xml:space="preserve">Pueden beneficiarse de </w:t>
      </w:r>
      <w:r w:rsidR="004B7093">
        <w:t>lo establecido en l</w:t>
      </w:r>
      <w:r>
        <w:t xml:space="preserve">a ley </w:t>
      </w:r>
      <w:r w:rsidR="004B7093">
        <w:t xml:space="preserve">Nº 20.330, </w:t>
      </w:r>
      <w:r>
        <w:t>profesionales y técnicos de nivel superior que cuenten con su título</w:t>
      </w:r>
      <w:r w:rsidR="004B7093">
        <w:t>,</w:t>
      </w:r>
      <w:r>
        <w:t xml:space="preserve"> </w:t>
      </w:r>
      <w:r w:rsidR="004B7093">
        <w:t>así como</w:t>
      </w:r>
      <w:r>
        <w:t xml:space="preserve"> médicos cirujanos y cirujanos dentistas con especialidad, cuyas deudas </w:t>
      </w:r>
      <w:r w:rsidR="00072359">
        <w:t>de crédito para estudio</w:t>
      </w:r>
      <w:r w:rsidR="00057D50">
        <w:t>s</w:t>
      </w:r>
      <w:r w:rsidR="00072359">
        <w:t xml:space="preserve"> superiores </w:t>
      </w:r>
      <w:r>
        <w:t>estén regidas por l</w:t>
      </w:r>
      <w:r w:rsidR="00062DB2">
        <w:t>as leyes Nº 19.287</w:t>
      </w:r>
      <w:r w:rsidR="002C1BCD">
        <w:rPr>
          <w:rStyle w:val="Refdenotaalpie"/>
        </w:rPr>
        <w:footnoteReference w:id="5"/>
      </w:r>
      <w:r w:rsidR="00062DB2">
        <w:t xml:space="preserve"> y Nº 20.027</w:t>
      </w:r>
      <w:r w:rsidR="002C1BCD">
        <w:rPr>
          <w:rStyle w:val="Refdenotaalpie"/>
        </w:rPr>
        <w:footnoteReference w:id="6"/>
      </w:r>
      <w:r w:rsidR="00666ACA">
        <w:t>,</w:t>
      </w:r>
      <w:r w:rsidR="004B7093">
        <w:t xml:space="preserve"> que se encuentren y mantengan al día en sus pagos</w:t>
      </w:r>
      <w:r w:rsidR="00666ACA">
        <w:t xml:space="preserve"> y “</w:t>
      </w:r>
      <w:r w:rsidR="00666ACA" w:rsidRPr="00057D50">
        <w:t xml:space="preserve">que </w:t>
      </w:r>
      <w:r w:rsidR="00057D50">
        <w:rPr>
          <w:b/>
        </w:rPr>
        <w:t xml:space="preserve">a contar de la </w:t>
      </w:r>
      <w:r w:rsidR="00057D50">
        <w:rPr>
          <w:b/>
        </w:rPr>
        <w:lastRenderedPageBreak/>
        <w:t xml:space="preserve">fecha de vigencia de la presente ley </w:t>
      </w:r>
      <w:r w:rsidR="00666ACA" w:rsidRPr="00666ACA">
        <w:rPr>
          <w:b/>
        </w:rPr>
        <w:t xml:space="preserve">se incorporen </w:t>
      </w:r>
      <w:r w:rsidR="00666ACA" w:rsidRPr="00057D50">
        <w:t>a prestar servicios remunerados</w:t>
      </w:r>
      <w:r w:rsidR="00666ACA">
        <w:t>”</w:t>
      </w:r>
      <w:r w:rsidR="00666ACA">
        <w:rPr>
          <w:rStyle w:val="Refdenotaalpie"/>
        </w:rPr>
        <w:footnoteReference w:id="7"/>
      </w:r>
      <w:r w:rsidR="00666ACA">
        <w:t xml:space="preserve">, en </w:t>
      </w:r>
      <w:r w:rsidR="00072359">
        <w:t>comunas de bajo desarrollo</w:t>
      </w:r>
      <w:r w:rsidR="00666ACA">
        <w:t>,</w:t>
      </w:r>
      <w:r w:rsidR="00072359">
        <w:t xml:space="preserve"> </w:t>
      </w:r>
      <w:r w:rsidR="004B7093">
        <w:t xml:space="preserve">los primeros </w:t>
      </w:r>
      <w:r>
        <w:t xml:space="preserve">en municipalidades, corporaciones y fundaciones municipales, asociaciones municipales, o bien en corporaciones u ONG que apoyen a municipios en los ámbitos social, </w:t>
      </w:r>
      <w:r w:rsidR="004B7093">
        <w:t xml:space="preserve">productivo, urbano o ambiental –estas últimas </w:t>
      </w:r>
      <w:r>
        <w:t xml:space="preserve">organizaciones deben estar inscritas en </w:t>
      </w:r>
      <w:r w:rsidR="004B7093">
        <w:t>un</w:t>
      </w:r>
      <w:r>
        <w:t xml:space="preserve"> registro que para el</w:t>
      </w:r>
      <w:r w:rsidR="00062DB2">
        <w:t xml:space="preserve"> efecto haya abierto la SUBDERE</w:t>
      </w:r>
      <w:r w:rsidR="004B7093">
        <w:t>–</w:t>
      </w:r>
      <w:r w:rsidR="00062DB2">
        <w:t xml:space="preserve">; </w:t>
      </w:r>
      <w:r w:rsidR="004B7093">
        <w:t xml:space="preserve">y los segundos (profesionales de la salud) </w:t>
      </w:r>
      <w:r w:rsidR="00062DB2">
        <w:t xml:space="preserve">podrán desempeñarse </w:t>
      </w:r>
      <w:r w:rsidR="004B7093">
        <w:t xml:space="preserve">tanto </w:t>
      </w:r>
      <w:r w:rsidR="00062DB2">
        <w:t xml:space="preserve">en establecimientos </w:t>
      </w:r>
      <w:r w:rsidR="004B7093">
        <w:t xml:space="preserve">municipales como en los </w:t>
      </w:r>
      <w:r w:rsidR="00062DB2">
        <w:t>dependientes de los servicios de salud</w:t>
      </w:r>
      <w:r w:rsidR="004B7093">
        <w:t>.</w:t>
      </w:r>
    </w:p>
    <w:p w:rsidR="00682A1A" w:rsidRDefault="00682A1A" w:rsidP="00682A1A">
      <w:pPr>
        <w:spacing w:after="0" w:line="240" w:lineRule="auto"/>
        <w:jc w:val="both"/>
      </w:pPr>
    </w:p>
    <w:p w:rsidR="000B5CEE" w:rsidRDefault="000B5CEE" w:rsidP="00682A1A">
      <w:pPr>
        <w:spacing w:after="0" w:line="240" w:lineRule="auto"/>
        <w:jc w:val="both"/>
      </w:pPr>
      <w:r>
        <w:t>El beneficio consiste en un a</w:t>
      </w:r>
      <w:r w:rsidR="00F64E2A">
        <w:t>porte financiero estatal anual, hasta</w:t>
      </w:r>
      <w:r>
        <w:t xml:space="preserve"> por 3 años consecutivos, para el pago de la deuda de crédito. El monto del aporte anual corresponde al valor de la cuota anual a pagar por el deudor o al monto pagado el año anterior, con un tope de 16 Unidades Tributarias Mensuales (UTM). En caso de que los servicios se sigan prestando por tercer año consecutivo, el beneficiario podrá acceder a un aporte adicional de 3 veces la cuota anual a pagar o 3 veces el monto pagado el año anterior con un tope de 48 UTM.</w:t>
      </w:r>
      <w:r w:rsidR="00975B5F">
        <w:t xml:space="preserve"> Cabe aclarar que el beneficio se calcula sobre la deuda pactada para el año y no sobre la deuda total de crédito.</w:t>
      </w:r>
    </w:p>
    <w:p w:rsidR="00682A1A" w:rsidRDefault="00682A1A" w:rsidP="00970E8E">
      <w:pPr>
        <w:spacing w:after="0" w:line="240" w:lineRule="auto"/>
        <w:jc w:val="both"/>
      </w:pPr>
    </w:p>
    <w:p w:rsidR="00455077" w:rsidRDefault="00455077" w:rsidP="00970E8E">
      <w:pPr>
        <w:spacing w:after="0" w:line="240" w:lineRule="auto"/>
        <w:jc w:val="both"/>
      </w:pPr>
      <w:r>
        <w:t>En el proceso de postulación intervienen:</w:t>
      </w:r>
    </w:p>
    <w:p w:rsidR="00682A1A" w:rsidRDefault="00682A1A" w:rsidP="00682A1A">
      <w:pPr>
        <w:pStyle w:val="Prrafodelista"/>
        <w:spacing w:after="0" w:line="240" w:lineRule="auto"/>
        <w:ind w:left="770"/>
        <w:jc w:val="both"/>
      </w:pPr>
    </w:p>
    <w:p w:rsidR="00455077" w:rsidRDefault="00975B5F" w:rsidP="00682A1A">
      <w:pPr>
        <w:pStyle w:val="Prrafodelista"/>
        <w:numPr>
          <w:ilvl w:val="0"/>
          <w:numId w:val="6"/>
        </w:numPr>
        <w:spacing w:after="0" w:line="240" w:lineRule="auto"/>
        <w:jc w:val="both"/>
      </w:pPr>
      <w:r>
        <w:t xml:space="preserve">SUBDERE: determina anualmente, </w:t>
      </w:r>
      <w:r w:rsidR="00455077">
        <w:t xml:space="preserve">según sus bases de datos y sus metodologías, el grupo de comunas “con menor nivel de desarrollo” (término </w:t>
      </w:r>
      <w:r>
        <w:t>utilizado por la ley Nº 20.330) y el número de cupos para optar al beneficio, por cada región del país.</w:t>
      </w:r>
    </w:p>
    <w:p w:rsidR="0038276C" w:rsidRDefault="0038276C" w:rsidP="00682A1A">
      <w:pPr>
        <w:pStyle w:val="Prrafodelista"/>
        <w:numPr>
          <w:ilvl w:val="0"/>
          <w:numId w:val="6"/>
        </w:numPr>
        <w:spacing w:after="0" w:line="240" w:lineRule="auto"/>
        <w:jc w:val="both"/>
      </w:pPr>
      <w:r>
        <w:t>Municipio</w:t>
      </w:r>
      <w:r w:rsidR="00685240">
        <w:t>s</w:t>
      </w:r>
      <w:r>
        <w:t xml:space="preserve"> u otra</w:t>
      </w:r>
      <w:r w:rsidR="00685240">
        <w:t>s</w:t>
      </w:r>
      <w:r>
        <w:t xml:space="preserve"> organizaci</w:t>
      </w:r>
      <w:r w:rsidR="00685240">
        <w:t>o</w:t>
      </w:r>
      <w:r>
        <w:t>n</w:t>
      </w:r>
      <w:r w:rsidR="00685240">
        <w:t>es</w:t>
      </w:r>
      <w:r>
        <w:t xml:space="preserve"> receptora</w:t>
      </w:r>
      <w:r w:rsidR="00685240">
        <w:t>s</w:t>
      </w:r>
      <w:r>
        <w:t xml:space="preserve"> (aquellas que están habilitadas para </w:t>
      </w:r>
      <w:r w:rsidR="00685240">
        <w:t xml:space="preserve">que sus profesionales accedan al beneficio): certifican la existencia del vínculo y el desempeño </w:t>
      </w:r>
      <w:r>
        <w:t>laboral</w:t>
      </w:r>
      <w:r w:rsidR="00685240">
        <w:t xml:space="preserve"> del candidato.</w:t>
      </w:r>
    </w:p>
    <w:p w:rsidR="00455077" w:rsidRDefault="00455077" w:rsidP="00682A1A">
      <w:pPr>
        <w:pStyle w:val="Prrafodelista"/>
        <w:numPr>
          <w:ilvl w:val="0"/>
          <w:numId w:val="6"/>
        </w:numPr>
        <w:spacing w:after="0" w:line="240" w:lineRule="auto"/>
        <w:jc w:val="both"/>
      </w:pPr>
      <w:r>
        <w:t>Intendencias Regionales: certifican que el postulante cumple con los requisitos (</w:t>
      </w:r>
      <w:r w:rsidR="0038276C">
        <w:t>previa verificación de ciertas condiciones específicas</w:t>
      </w:r>
      <w:r>
        <w:t>).</w:t>
      </w:r>
    </w:p>
    <w:p w:rsidR="00455077" w:rsidRDefault="00455077" w:rsidP="00682A1A">
      <w:pPr>
        <w:pStyle w:val="Prrafodelista"/>
        <w:numPr>
          <w:ilvl w:val="0"/>
          <w:numId w:val="6"/>
        </w:numPr>
        <w:spacing w:after="0" w:line="240" w:lineRule="auto"/>
        <w:jc w:val="both"/>
      </w:pPr>
      <w:r>
        <w:t xml:space="preserve">Comisión Administradora del Sistema de Créditos para Estudios Superiores (“Comisión Ingresa”) en el caso de los deudores regulados por la Ley Nº20.027 </w:t>
      </w:r>
      <w:r w:rsidR="00975B5F">
        <w:t>o</w:t>
      </w:r>
      <w:r>
        <w:t xml:space="preserve"> Administradores Financieros del Fondo de Crédito Universitario de las respectivas casas de estudios en el caso de los deudores regulados por la Ley Nº 19.287: informa</w:t>
      </w:r>
      <w:r w:rsidR="00975B5F">
        <w:t>n</w:t>
      </w:r>
      <w:r>
        <w:t xml:space="preserve"> la deuda pactada para el año que será cubierto total o parcialmente por el monto asignado al beneficiario; informa</w:t>
      </w:r>
      <w:r w:rsidR="00975B5F">
        <w:t>n</w:t>
      </w:r>
      <w:r>
        <w:t xml:space="preserve"> a la Tesorería el listado de beneficiarios.</w:t>
      </w:r>
    </w:p>
    <w:p w:rsidR="00455077" w:rsidRDefault="00455077" w:rsidP="00682A1A">
      <w:pPr>
        <w:pStyle w:val="Prrafodelista"/>
        <w:numPr>
          <w:ilvl w:val="0"/>
          <w:numId w:val="6"/>
        </w:numPr>
        <w:spacing w:after="0" w:line="240" w:lineRule="auto"/>
        <w:jc w:val="both"/>
      </w:pPr>
      <w:r>
        <w:lastRenderedPageBreak/>
        <w:t xml:space="preserve">Tesorería General de la República: paga el beneficio a la Comisión Ingresa, al Administrador Financiero de la casa de estudios que corresponda, o al propio beneficiario si la deuda se encuentra saldada </w:t>
      </w:r>
      <w:r w:rsidR="000B5CEE">
        <w:t>ante esos organismos</w:t>
      </w:r>
      <w:r>
        <w:t>.</w:t>
      </w:r>
    </w:p>
    <w:p w:rsidR="00682A1A" w:rsidRDefault="00682A1A" w:rsidP="00682A1A">
      <w:pPr>
        <w:spacing w:after="0" w:line="240" w:lineRule="auto"/>
        <w:jc w:val="both"/>
      </w:pPr>
    </w:p>
    <w:p w:rsidR="00D67BD9" w:rsidRDefault="00D67BD9" w:rsidP="00682A1A">
      <w:pPr>
        <w:spacing w:after="0" w:line="240" w:lineRule="auto"/>
        <w:jc w:val="both"/>
      </w:pPr>
      <w:r>
        <w:t>La Ley de Presupuesto</w:t>
      </w:r>
      <w:r w:rsidR="00F64E2A">
        <w:t>s</w:t>
      </w:r>
      <w:r>
        <w:t xml:space="preserve"> establecerá anualmente el número máximo de beneficiarios</w:t>
      </w:r>
      <w:r w:rsidR="00970E8E">
        <w:t xml:space="preserve"> para el país</w:t>
      </w:r>
      <w:r w:rsidR="00A42630">
        <w:rPr>
          <w:rStyle w:val="Refdenotaalpie"/>
        </w:rPr>
        <w:footnoteReference w:id="8"/>
      </w:r>
      <w:r>
        <w:t>. Un Decreto Supremo, también anual, establecerá el número máximo de beneficiarios por región (no superior al 15% del total nacional de beneficiarios) que deberá ser proporcional al número de comunas elegibles. Se entenderá por comunas de menor desarrollo a las que comparativamente cumplan con los siguientes criterios: mayor dependencia del Fondo Común Municipal, mayor porcentaje de población rural, menor porcentaje de profesionales sobre el total de funcionarios municipales</w:t>
      </w:r>
      <w:r w:rsidR="009943ED">
        <w:t>, menor tamaño de población (con énfasis en comunas de menos de 30.000 habitantes).</w:t>
      </w:r>
      <w:r w:rsidR="00970E8E">
        <w:rPr>
          <w:rStyle w:val="Refdenotaalpie"/>
        </w:rPr>
        <w:footnoteReference w:id="9"/>
      </w:r>
    </w:p>
    <w:p w:rsidR="00682A1A" w:rsidRDefault="00682A1A" w:rsidP="00682A1A">
      <w:pPr>
        <w:spacing w:after="0" w:line="240" w:lineRule="auto"/>
        <w:jc w:val="both"/>
      </w:pPr>
    </w:p>
    <w:p w:rsidR="007A29AE" w:rsidRDefault="007A29AE" w:rsidP="00682A1A">
      <w:pPr>
        <w:spacing w:after="0" w:line="240" w:lineRule="auto"/>
        <w:jc w:val="both"/>
      </w:pPr>
      <w:r>
        <w:t>El Decreto Nº 403, publicado el 29 de agosto de 2009 reglamenta la aplicación de la Ley.</w:t>
      </w:r>
    </w:p>
    <w:p w:rsidR="00682A1A" w:rsidRDefault="00682A1A" w:rsidP="00682A1A">
      <w:pPr>
        <w:spacing w:after="0" w:line="240" w:lineRule="auto"/>
        <w:jc w:val="both"/>
      </w:pPr>
    </w:p>
    <w:p w:rsidR="00685240" w:rsidRDefault="00685240" w:rsidP="00682A1A">
      <w:pPr>
        <w:spacing w:after="0" w:line="240" w:lineRule="auto"/>
        <w:jc w:val="both"/>
      </w:pPr>
      <w:r>
        <w:t>Por decreto anual del Ministerio del Interior (SUBDERE), se establecerá el listado de comunas “de menor desarrollo” cuyos profesionales podrán postular al beneficio, así como el número de cupos (máximo de beneficiarios) por región.</w:t>
      </w:r>
    </w:p>
    <w:p w:rsidR="00682A1A" w:rsidRDefault="00682A1A" w:rsidP="00682A1A">
      <w:pPr>
        <w:spacing w:after="0" w:line="240" w:lineRule="auto"/>
        <w:jc w:val="both"/>
      </w:pPr>
    </w:p>
    <w:p w:rsidR="00682A1A" w:rsidRDefault="00682A1A" w:rsidP="00682A1A">
      <w:pPr>
        <w:spacing w:after="0" w:line="240" w:lineRule="auto"/>
        <w:jc w:val="both"/>
      </w:pPr>
    </w:p>
    <w:p w:rsidR="000B5CEE" w:rsidRPr="009B6D95" w:rsidRDefault="00BB70CE" w:rsidP="009B6D95">
      <w:pPr>
        <w:pStyle w:val="Ttulo1"/>
        <w:numPr>
          <w:ilvl w:val="0"/>
          <w:numId w:val="5"/>
        </w:numPr>
      </w:pPr>
      <w:bookmarkStart w:id="4" w:name="_Toc341866705"/>
      <w:r w:rsidRPr="009B6D95">
        <w:t>ESTA EVALUACIÓN</w:t>
      </w:r>
      <w:bookmarkEnd w:id="4"/>
    </w:p>
    <w:p w:rsidR="00682A1A" w:rsidRDefault="00682A1A" w:rsidP="00682A1A">
      <w:pPr>
        <w:spacing w:after="0" w:line="240" w:lineRule="auto"/>
        <w:jc w:val="both"/>
      </w:pPr>
    </w:p>
    <w:p w:rsidR="00062DB2" w:rsidRDefault="00062DB2" w:rsidP="00682A1A">
      <w:pPr>
        <w:spacing w:after="0" w:line="240" w:lineRule="auto"/>
        <w:jc w:val="both"/>
      </w:pPr>
      <w:r>
        <w:t xml:space="preserve">El artículo 8º </w:t>
      </w:r>
      <w:r w:rsidR="000B5CEE">
        <w:t xml:space="preserve">de la ley </w:t>
      </w:r>
      <w:r>
        <w:t>establece que “al cumplirse el tercer año de vigencia de la ley, la Subsecretaría de Desarrollo Regional y Administrativo, en conjunto con el Ministerio de Educación y la Dirección de Presupuestos del Ministerio de Hacienda, realizarán una evaluación del cumplimiento de sus objetivos, informando de los resultados de la evaluación a la Comisión Especial Mixta de Presupuestos”.</w:t>
      </w:r>
    </w:p>
    <w:p w:rsidR="00682A1A" w:rsidRDefault="00682A1A" w:rsidP="00682A1A">
      <w:pPr>
        <w:spacing w:after="0" w:line="240" w:lineRule="auto"/>
        <w:jc w:val="both"/>
      </w:pPr>
    </w:p>
    <w:p w:rsidR="007A29AE" w:rsidRDefault="00BB70CE" w:rsidP="00682A1A">
      <w:pPr>
        <w:spacing w:after="0" w:line="240" w:lineRule="auto"/>
        <w:jc w:val="both"/>
      </w:pPr>
      <w:r>
        <w:t>En cumplimiento de la ley, la evaluación es realizada por el Departamento de Estudios y Evaluación de la SUBDERE, en conjunto con la División de Educación Superior del Ministerio de Educación y el Departamento de Estudios de la Dirección de Presupuesto</w:t>
      </w:r>
      <w:r w:rsidR="006D49A5">
        <w:t>s</w:t>
      </w:r>
      <w:r>
        <w:t xml:space="preserve"> del Ministerio de Hacienda.</w:t>
      </w:r>
    </w:p>
    <w:p w:rsidR="000D7E4D" w:rsidRDefault="000D7E4D" w:rsidP="007D525F">
      <w:pPr>
        <w:spacing w:after="0" w:line="240" w:lineRule="auto"/>
        <w:rPr>
          <w:b/>
        </w:rPr>
      </w:pPr>
    </w:p>
    <w:p w:rsidR="007D525F" w:rsidRDefault="007D525F">
      <w:pPr>
        <w:rPr>
          <w:b/>
        </w:rPr>
      </w:pPr>
      <w:r>
        <w:br w:type="page"/>
      </w:r>
    </w:p>
    <w:p w:rsidR="00FC3447" w:rsidRPr="009B6D95" w:rsidRDefault="00EA5E4B" w:rsidP="009B6D95">
      <w:pPr>
        <w:pStyle w:val="Ttulo2"/>
      </w:pPr>
      <w:bookmarkStart w:id="5" w:name="_Toc341866706"/>
      <w:r w:rsidRPr="009B6D95">
        <w:lastRenderedPageBreak/>
        <w:t>O</w:t>
      </w:r>
      <w:r w:rsidR="00B7540E" w:rsidRPr="009B6D95">
        <w:t>bjetivo general</w:t>
      </w:r>
      <w:r w:rsidR="000D7E4D">
        <w:t xml:space="preserve"> de este estudio</w:t>
      </w:r>
      <w:bookmarkEnd w:id="5"/>
    </w:p>
    <w:p w:rsidR="00682A1A" w:rsidRDefault="00682A1A" w:rsidP="00682A1A">
      <w:pPr>
        <w:spacing w:after="0" w:line="240" w:lineRule="auto"/>
        <w:jc w:val="both"/>
      </w:pPr>
    </w:p>
    <w:p w:rsidR="00E62142" w:rsidRDefault="00E62142" w:rsidP="00682A1A">
      <w:pPr>
        <w:spacing w:after="0" w:line="240" w:lineRule="auto"/>
        <w:jc w:val="both"/>
      </w:pPr>
      <w:r>
        <w:t xml:space="preserve">Evaluar </w:t>
      </w:r>
      <w:r w:rsidR="00F93FFA">
        <w:t>procesos y</w:t>
      </w:r>
      <w:r>
        <w:t xml:space="preserve"> resultados </w:t>
      </w:r>
      <w:r w:rsidR="00F93FFA">
        <w:t>de la aplicación de la Ley Nº 20.330 en sus 3 años de vigencia, y el cumplimiento de los objetivos planteados al momento de su formulación.</w:t>
      </w:r>
    </w:p>
    <w:p w:rsidR="009B6D95" w:rsidRDefault="009B6D95" w:rsidP="00682A1A">
      <w:pPr>
        <w:spacing w:after="0" w:line="240" w:lineRule="auto"/>
        <w:jc w:val="both"/>
      </w:pPr>
    </w:p>
    <w:p w:rsidR="0012716B" w:rsidRPr="009B6D95" w:rsidRDefault="00B7540E" w:rsidP="009B6D95">
      <w:pPr>
        <w:pStyle w:val="Ttulo2"/>
      </w:pPr>
      <w:bookmarkStart w:id="6" w:name="_Toc341866707"/>
      <w:r w:rsidRPr="009B6D95">
        <w:t>Objetivos específicos y variables asociadas</w:t>
      </w:r>
      <w:bookmarkEnd w:id="6"/>
    </w:p>
    <w:p w:rsidR="00E93387" w:rsidRPr="00E93387" w:rsidRDefault="00E93387" w:rsidP="00682A1A">
      <w:pPr>
        <w:pStyle w:val="Prrafodelista"/>
        <w:spacing w:after="0" w:line="240" w:lineRule="auto"/>
        <w:ind w:left="360"/>
        <w:jc w:val="both"/>
        <w:rPr>
          <w:u w:val="single"/>
        </w:rPr>
      </w:pPr>
    </w:p>
    <w:p w:rsidR="00EA3AC3" w:rsidRPr="008541DC" w:rsidRDefault="00EA3AC3" w:rsidP="00682A1A">
      <w:pPr>
        <w:pStyle w:val="Prrafodelista"/>
        <w:numPr>
          <w:ilvl w:val="0"/>
          <w:numId w:val="4"/>
        </w:numPr>
        <w:spacing w:after="0" w:line="240" w:lineRule="auto"/>
        <w:jc w:val="both"/>
        <w:rPr>
          <w:u w:val="single"/>
        </w:rPr>
      </w:pPr>
      <w:r w:rsidRPr="008541DC">
        <w:rPr>
          <w:b/>
          <w:u w:val="single"/>
        </w:rPr>
        <w:t xml:space="preserve">Objetivo Nº 1: </w:t>
      </w:r>
      <w:r w:rsidRPr="008541DC">
        <w:rPr>
          <w:u w:val="single"/>
        </w:rPr>
        <w:t>Evaluar la institucionalidad y los procesos de la aplicación de la Ley Nº 20.330.</w:t>
      </w:r>
    </w:p>
    <w:p w:rsidR="00EA3AC3" w:rsidRPr="008541DC" w:rsidRDefault="00EA3AC3" w:rsidP="00682A1A">
      <w:pPr>
        <w:spacing w:after="0" w:line="240" w:lineRule="auto"/>
        <w:ind w:left="360"/>
        <w:jc w:val="both"/>
        <w:rPr>
          <w:i/>
        </w:rPr>
      </w:pPr>
      <w:r w:rsidRPr="008541DC">
        <w:rPr>
          <w:i/>
        </w:rPr>
        <w:t>Variables y tópicos preliminares a investigar</w:t>
      </w:r>
      <w:r>
        <w:rPr>
          <w:i/>
        </w:rPr>
        <w:t>:</w:t>
      </w:r>
    </w:p>
    <w:p w:rsidR="00EA3AC3" w:rsidRDefault="00EA3AC3" w:rsidP="00682A1A">
      <w:pPr>
        <w:pStyle w:val="Prrafodelista"/>
        <w:numPr>
          <w:ilvl w:val="0"/>
          <w:numId w:val="2"/>
        </w:numPr>
        <w:spacing w:after="0" w:line="240" w:lineRule="auto"/>
        <w:jc w:val="both"/>
      </w:pPr>
      <w:r>
        <w:t>Estructura institucional: radicación institucional de la Ley; roles institucionales; personal destinado; accesibilidad física y remota a servicios de la Ley; existencia y vigencia registro de instituciones receptoras; satisfacción de beneficiarios; satisfacción actores institucionales; etc.</w:t>
      </w:r>
    </w:p>
    <w:p w:rsidR="00EA3AC3" w:rsidRDefault="00EA3AC3" w:rsidP="00682A1A">
      <w:pPr>
        <w:pStyle w:val="Prrafodelista"/>
        <w:numPr>
          <w:ilvl w:val="0"/>
          <w:numId w:val="2"/>
        </w:numPr>
        <w:spacing w:after="0" w:line="240" w:lineRule="auto"/>
        <w:ind w:left="714" w:hanging="357"/>
        <w:contextualSpacing w:val="0"/>
        <w:jc w:val="both"/>
      </w:pPr>
      <w:r>
        <w:t>Flujos: difusión e información; acceso laboral a potenciales instituciones receptoras; proceso de postulación/solicitud; proceso de asignación del beneficio; proceso de pago del beneficio; satisfacción de beneficiarios; satisfacción actores institucionales; etc.</w:t>
      </w:r>
    </w:p>
    <w:p w:rsidR="00D33AE3" w:rsidRDefault="00D33AE3" w:rsidP="00682A1A">
      <w:pPr>
        <w:pStyle w:val="Prrafodelista"/>
        <w:spacing w:after="0" w:line="240" w:lineRule="auto"/>
        <w:ind w:left="714"/>
        <w:contextualSpacing w:val="0"/>
        <w:jc w:val="both"/>
      </w:pPr>
    </w:p>
    <w:p w:rsidR="00EA3AC3" w:rsidRPr="008541DC" w:rsidRDefault="00EA3AC3" w:rsidP="00682A1A">
      <w:pPr>
        <w:pStyle w:val="Prrafodelista"/>
        <w:numPr>
          <w:ilvl w:val="0"/>
          <w:numId w:val="4"/>
        </w:numPr>
        <w:spacing w:after="0" w:line="240" w:lineRule="auto"/>
        <w:jc w:val="both"/>
        <w:rPr>
          <w:u w:val="single"/>
        </w:rPr>
      </w:pPr>
      <w:r w:rsidRPr="008541DC">
        <w:rPr>
          <w:b/>
          <w:u w:val="single"/>
        </w:rPr>
        <w:t xml:space="preserve">Objetivo Nº 2: </w:t>
      </w:r>
      <w:r w:rsidRPr="008541DC">
        <w:rPr>
          <w:u w:val="single"/>
        </w:rPr>
        <w:t>Evaluar las coberturas efectivas del beneficio, tanto sobre los profesionales o técnicos beneficiados como sobre las instituciones receptoras.</w:t>
      </w:r>
    </w:p>
    <w:p w:rsidR="00EA3AC3" w:rsidRPr="008541DC" w:rsidRDefault="00EA3AC3" w:rsidP="00682A1A">
      <w:pPr>
        <w:spacing w:after="0" w:line="240" w:lineRule="auto"/>
        <w:ind w:left="360"/>
        <w:jc w:val="both"/>
        <w:rPr>
          <w:i/>
        </w:rPr>
      </w:pPr>
      <w:r w:rsidRPr="008541DC">
        <w:rPr>
          <w:i/>
        </w:rPr>
        <w:t>Variables y tópicos preliminares a investigar:</w:t>
      </w:r>
    </w:p>
    <w:p w:rsidR="00EA3AC3" w:rsidRDefault="00EA3AC3" w:rsidP="00682A1A">
      <w:pPr>
        <w:pStyle w:val="Prrafodelista"/>
        <w:numPr>
          <w:ilvl w:val="0"/>
          <w:numId w:val="3"/>
        </w:numPr>
        <w:spacing w:after="0" w:line="240" w:lineRule="auto"/>
        <w:jc w:val="both"/>
      </w:pPr>
      <w:r>
        <w:t>Beneficiarios: número anual de beneficiarios efectivos sobre cupos establecidos por decreto anual; monto anual efectivo otorgado; tipo de beneficiario (profesión, edad, sexo, institución superior de origen); renta de beneficiario en la institución receptora; monto beneficio recibido; etc.</w:t>
      </w:r>
    </w:p>
    <w:p w:rsidR="00EA3AC3" w:rsidRDefault="00EA3AC3" w:rsidP="00682A1A">
      <w:pPr>
        <w:pStyle w:val="Prrafodelista"/>
        <w:numPr>
          <w:ilvl w:val="0"/>
          <w:numId w:val="3"/>
        </w:numPr>
        <w:spacing w:after="0" w:line="240" w:lineRule="auto"/>
        <w:ind w:left="714" w:hanging="357"/>
        <w:contextualSpacing w:val="0"/>
        <w:jc w:val="both"/>
      </w:pPr>
      <w:r>
        <w:t>Instituciones receptoras:</w:t>
      </w:r>
      <w:r w:rsidRPr="00E30CF8">
        <w:t xml:space="preserve"> </w:t>
      </w:r>
      <w:r>
        <w:t>número de instituciones; tipos de instituciones; localizaciones de instituciones; satisfacción de actores institucionales; etc.</w:t>
      </w:r>
    </w:p>
    <w:p w:rsidR="00682A1A" w:rsidRPr="00682A1A" w:rsidRDefault="00682A1A" w:rsidP="00682A1A">
      <w:pPr>
        <w:pStyle w:val="Prrafodelista"/>
        <w:spacing w:after="0" w:line="240" w:lineRule="auto"/>
        <w:ind w:left="360"/>
        <w:jc w:val="both"/>
        <w:rPr>
          <w:u w:val="single"/>
        </w:rPr>
      </w:pPr>
    </w:p>
    <w:p w:rsidR="00EA3AC3" w:rsidRPr="008541DC" w:rsidRDefault="00EA3AC3" w:rsidP="00682A1A">
      <w:pPr>
        <w:pStyle w:val="Prrafodelista"/>
        <w:numPr>
          <w:ilvl w:val="0"/>
          <w:numId w:val="4"/>
        </w:numPr>
        <w:spacing w:after="0" w:line="240" w:lineRule="auto"/>
        <w:jc w:val="both"/>
        <w:rPr>
          <w:u w:val="single"/>
        </w:rPr>
      </w:pPr>
      <w:r w:rsidRPr="008541DC">
        <w:rPr>
          <w:b/>
          <w:u w:val="single"/>
        </w:rPr>
        <w:t xml:space="preserve">Objetivo Nº 3: </w:t>
      </w:r>
      <w:r w:rsidRPr="008541DC">
        <w:rPr>
          <w:u w:val="single"/>
        </w:rPr>
        <w:t>Dimensionar y caracterizar el atractivo subjetivo del beneficio para los potenciales beneficiarios.</w:t>
      </w:r>
    </w:p>
    <w:p w:rsidR="00EA3AC3" w:rsidRPr="008541DC" w:rsidRDefault="00EA3AC3" w:rsidP="00682A1A">
      <w:pPr>
        <w:spacing w:after="0" w:line="240" w:lineRule="auto"/>
        <w:ind w:left="360"/>
        <w:jc w:val="both"/>
        <w:rPr>
          <w:i/>
        </w:rPr>
      </w:pPr>
      <w:r w:rsidRPr="008541DC">
        <w:rPr>
          <w:i/>
        </w:rPr>
        <w:t>Variable (única) y tópicos preliminares a investigar:</w:t>
      </w:r>
    </w:p>
    <w:p w:rsidR="00EA3AC3" w:rsidRDefault="00EA3AC3" w:rsidP="00682A1A">
      <w:pPr>
        <w:spacing w:after="0" w:line="240" w:lineRule="auto"/>
        <w:jc w:val="both"/>
      </w:pPr>
      <w:r>
        <w:tab/>
        <w:t>Atractivo: grado de atracción; ranking de motivaciones; etc.</w:t>
      </w:r>
    </w:p>
    <w:p w:rsidR="00682A1A" w:rsidRPr="00682A1A" w:rsidRDefault="00682A1A" w:rsidP="00682A1A">
      <w:pPr>
        <w:pStyle w:val="Prrafodelista"/>
        <w:spacing w:after="0" w:line="240" w:lineRule="auto"/>
        <w:ind w:left="360"/>
        <w:jc w:val="both"/>
        <w:rPr>
          <w:u w:val="single"/>
        </w:rPr>
      </w:pPr>
    </w:p>
    <w:p w:rsidR="00EA3AC3" w:rsidRPr="008541DC" w:rsidRDefault="00EA3AC3" w:rsidP="00682A1A">
      <w:pPr>
        <w:pStyle w:val="Prrafodelista"/>
        <w:numPr>
          <w:ilvl w:val="0"/>
          <w:numId w:val="4"/>
        </w:numPr>
        <w:spacing w:after="0" w:line="240" w:lineRule="auto"/>
        <w:jc w:val="both"/>
        <w:rPr>
          <w:u w:val="single"/>
        </w:rPr>
      </w:pPr>
      <w:r w:rsidRPr="008541DC">
        <w:rPr>
          <w:b/>
          <w:u w:val="single"/>
        </w:rPr>
        <w:t xml:space="preserve">Objetivo Nº 4: </w:t>
      </w:r>
      <w:r w:rsidRPr="008541DC">
        <w:rPr>
          <w:u w:val="single"/>
        </w:rPr>
        <w:t>Cuantificar la continuidad (0 a 3 años) de los servicios prestados por los beneficiarios a las instituciones receptoras.</w:t>
      </w:r>
    </w:p>
    <w:p w:rsidR="00EA3AC3" w:rsidRPr="008541DC" w:rsidRDefault="00EA3AC3" w:rsidP="00682A1A">
      <w:pPr>
        <w:spacing w:after="0" w:line="240" w:lineRule="auto"/>
        <w:ind w:left="360"/>
        <w:jc w:val="both"/>
        <w:rPr>
          <w:i/>
        </w:rPr>
      </w:pPr>
      <w:r w:rsidRPr="008541DC">
        <w:rPr>
          <w:i/>
        </w:rPr>
        <w:t>Variable (única) y tópicos preliminares a investigar:</w:t>
      </w:r>
    </w:p>
    <w:p w:rsidR="00EA3AC3" w:rsidRDefault="00EA3AC3" w:rsidP="00682A1A">
      <w:pPr>
        <w:spacing w:after="0" w:line="240" w:lineRule="auto"/>
        <w:ind w:left="708"/>
        <w:jc w:val="both"/>
      </w:pPr>
      <w:r>
        <w:t>Continuidad: permanencia de profesionales o técnicos en sus cargos; número absoluto y porcentaje de casos sobre el total, de profesionales que permanecen por 3 años o más; etc.</w:t>
      </w:r>
    </w:p>
    <w:p w:rsidR="00682A1A" w:rsidRPr="00682A1A" w:rsidRDefault="00682A1A" w:rsidP="00682A1A">
      <w:pPr>
        <w:pStyle w:val="Prrafodelista"/>
        <w:spacing w:after="0" w:line="240" w:lineRule="auto"/>
        <w:ind w:left="360"/>
        <w:jc w:val="both"/>
        <w:rPr>
          <w:u w:val="single"/>
        </w:rPr>
      </w:pPr>
    </w:p>
    <w:p w:rsidR="00EA3AC3" w:rsidRPr="008541DC" w:rsidRDefault="00EA3AC3" w:rsidP="00682A1A">
      <w:pPr>
        <w:pStyle w:val="Prrafodelista"/>
        <w:numPr>
          <w:ilvl w:val="0"/>
          <w:numId w:val="4"/>
        </w:numPr>
        <w:spacing w:after="0" w:line="240" w:lineRule="auto"/>
        <w:jc w:val="both"/>
        <w:rPr>
          <w:u w:val="single"/>
        </w:rPr>
      </w:pPr>
      <w:r w:rsidRPr="008541DC">
        <w:rPr>
          <w:b/>
          <w:u w:val="single"/>
        </w:rPr>
        <w:t xml:space="preserve">Objetivo Nº 5: </w:t>
      </w:r>
      <w:r w:rsidRPr="008541DC">
        <w:rPr>
          <w:u w:val="single"/>
        </w:rPr>
        <w:t>Evaluar el aporte de la aplicación de la ley a las instituciones receptoras de profesionales y técnicos.</w:t>
      </w:r>
    </w:p>
    <w:p w:rsidR="00EA3AC3" w:rsidRPr="008541DC" w:rsidRDefault="00EA3AC3" w:rsidP="00682A1A">
      <w:pPr>
        <w:spacing w:after="0" w:line="240" w:lineRule="auto"/>
        <w:ind w:left="360"/>
        <w:jc w:val="both"/>
        <w:rPr>
          <w:i/>
        </w:rPr>
      </w:pPr>
      <w:r w:rsidRPr="008541DC">
        <w:rPr>
          <w:i/>
        </w:rPr>
        <w:t>Variable (única) y tópicos preliminares a investigar:</w:t>
      </w:r>
    </w:p>
    <w:p w:rsidR="00EA3AC3" w:rsidRDefault="00EA3AC3" w:rsidP="00682A1A">
      <w:pPr>
        <w:spacing w:after="0" w:line="240" w:lineRule="auto"/>
        <w:ind w:left="708"/>
        <w:jc w:val="both"/>
      </w:pPr>
      <w:r>
        <w:t>Desempeño institucional:</w:t>
      </w:r>
      <w:r w:rsidRPr="008541DC">
        <w:t xml:space="preserve"> </w:t>
      </w:r>
      <w:r>
        <w:t>mejoras generales en la gestión institucional; aumento número de proyectos, servicios u otros (según corresponda); etc.</w:t>
      </w:r>
    </w:p>
    <w:p w:rsidR="00682A1A" w:rsidRPr="00682A1A" w:rsidRDefault="00682A1A" w:rsidP="00682A1A">
      <w:pPr>
        <w:pStyle w:val="Prrafodelista"/>
        <w:spacing w:after="0" w:line="240" w:lineRule="auto"/>
        <w:ind w:left="360"/>
        <w:jc w:val="both"/>
      </w:pPr>
    </w:p>
    <w:p w:rsidR="00EA3AC3" w:rsidRDefault="00EA3AC3" w:rsidP="00682A1A">
      <w:pPr>
        <w:pStyle w:val="Prrafodelista"/>
        <w:numPr>
          <w:ilvl w:val="0"/>
          <w:numId w:val="4"/>
        </w:numPr>
        <w:spacing w:after="0" w:line="240" w:lineRule="auto"/>
        <w:jc w:val="both"/>
      </w:pPr>
      <w:r w:rsidRPr="008541DC">
        <w:rPr>
          <w:b/>
          <w:u w:val="single"/>
        </w:rPr>
        <w:t xml:space="preserve">Objetivo Nº 6: </w:t>
      </w:r>
      <w:r w:rsidRPr="008541DC">
        <w:rPr>
          <w:u w:val="single"/>
        </w:rPr>
        <w:t>Según corresponda, proponer cambios y/o mejoras al diseño de la Ley, sus instrumentos y su aplicación.</w:t>
      </w:r>
    </w:p>
    <w:p w:rsidR="00E93387" w:rsidRDefault="00EA3AC3" w:rsidP="00682A1A">
      <w:pPr>
        <w:spacing w:after="0" w:line="240" w:lineRule="auto"/>
        <w:ind w:firstLine="708"/>
        <w:jc w:val="both"/>
      </w:pPr>
      <w:r w:rsidRPr="008541DC">
        <w:rPr>
          <w:i/>
        </w:rPr>
        <w:t>Variables:</w:t>
      </w:r>
      <w:r>
        <w:t xml:space="preserve"> Todas las variables.</w:t>
      </w:r>
    </w:p>
    <w:p w:rsidR="00682A1A" w:rsidRDefault="00682A1A" w:rsidP="00682A1A">
      <w:pPr>
        <w:pStyle w:val="Prrafodelista"/>
        <w:spacing w:after="0" w:line="240" w:lineRule="auto"/>
        <w:ind w:left="360"/>
        <w:jc w:val="both"/>
        <w:rPr>
          <w:b/>
        </w:rPr>
      </w:pPr>
    </w:p>
    <w:p w:rsidR="00B7540E" w:rsidRPr="009B6D95" w:rsidRDefault="00B7540E" w:rsidP="009B6D95">
      <w:pPr>
        <w:pStyle w:val="Ttulo2"/>
      </w:pPr>
      <w:bookmarkStart w:id="7" w:name="_Toc341866708"/>
      <w:r w:rsidRPr="009B6D95">
        <w:t>Metodología</w:t>
      </w:r>
      <w:bookmarkEnd w:id="7"/>
    </w:p>
    <w:p w:rsidR="00682A1A" w:rsidRDefault="00682A1A" w:rsidP="00682A1A">
      <w:pPr>
        <w:spacing w:after="0" w:line="240" w:lineRule="auto"/>
        <w:jc w:val="both"/>
      </w:pPr>
    </w:p>
    <w:p w:rsidR="00B7540E" w:rsidRDefault="00B7540E" w:rsidP="00682A1A">
      <w:pPr>
        <w:spacing w:after="0" w:line="240" w:lineRule="auto"/>
        <w:jc w:val="both"/>
      </w:pPr>
      <w:r>
        <w:t>Para el cumplimiento de los objetivos del estudio se aplicaron técnicas de análisis cualitativo y cuantitativo.</w:t>
      </w:r>
    </w:p>
    <w:p w:rsidR="00682A1A" w:rsidRDefault="00682A1A" w:rsidP="00682A1A">
      <w:pPr>
        <w:spacing w:after="0" w:line="240" w:lineRule="auto"/>
        <w:jc w:val="both"/>
      </w:pPr>
    </w:p>
    <w:p w:rsidR="005C403D" w:rsidRDefault="005C403D" w:rsidP="00682A1A">
      <w:pPr>
        <w:spacing w:after="0" w:line="240" w:lineRule="auto"/>
        <w:jc w:val="both"/>
      </w:pPr>
      <w:r>
        <w:t xml:space="preserve">Un primer análisis cualitativo correspondió a la revisión de documentos, entre los cuales </w:t>
      </w:r>
      <w:r w:rsidR="002B1ECA">
        <w:t xml:space="preserve">se encuentran </w:t>
      </w:r>
      <w:r>
        <w:t>los instrumentos legales y reglamentarios que rigen el programa de financiamiento</w:t>
      </w:r>
      <w:r w:rsidR="002B1ECA">
        <w:t xml:space="preserve"> y otros documentos relacionados</w:t>
      </w:r>
      <w:r>
        <w:t>:</w:t>
      </w:r>
    </w:p>
    <w:p w:rsidR="00682A1A" w:rsidRDefault="00682A1A" w:rsidP="00682A1A">
      <w:pPr>
        <w:pStyle w:val="Prrafodelista"/>
        <w:spacing w:after="0" w:line="240" w:lineRule="auto"/>
        <w:ind w:left="360"/>
        <w:jc w:val="both"/>
      </w:pPr>
    </w:p>
    <w:p w:rsidR="005C403D" w:rsidRDefault="00420BEE" w:rsidP="00682A1A">
      <w:pPr>
        <w:pStyle w:val="Prrafodelista"/>
        <w:numPr>
          <w:ilvl w:val="0"/>
          <w:numId w:val="4"/>
        </w:numPr>
        <w:spacing w:after="0" w:line="240" w:lineRule="auto"/>
        <w:jc w:val="both"/>
      </w:pPr>
      <w:r>
        <w:t>Ley Nº 20.330;</w:t>
      </w:r>
      <w:r w:rsidR="005C403D">
        <w:t xml:space="preserve"> publicada el 25 de febre</w:t>
      </w:r>
      <w:r>
        <w:t>ro de 2009, Ministerio de Educación</w:t>
      </w:r>
      <w:r w:rsidR="002B1ECA">
        <w:t>, “Fomenta que profesionales y técnicos jóvenes presten servicios en las comunas con menores niveles de desarrollo del país”</w:t>
      </w:r>
    </w:p>
    <w:p w:rsidR="002B1ECA" w:rsidRDefault="002B1ECA" w:rsidP="00682A1A">
      <w:pPr>
        <w:pStyle w:val="Prrafodelista"/>
        <w:numPr>
          <w:ilvl w:val="0"/>
          <w:numId w:val="4"/>
        </w:numPr>
        <w:spacing w:after="0" w:line="240" w:lineRule="auto"/>
        <w:jc w:val="both"/>
      </w:pPr>
      <w:r>
        <w:t>Historia de la Ley Nº 20.330; 25 de febrero de 2009, Biblioteca del Congreso Nacional (</w:t>
      </w:r>
      <w:hyperlink r:id="rId11" w:history="1">
        <w:r w:rsidRPr="003F29FA">
          <w:rPr>
            <w:rStyle w:val="Hipervnculo"/>
          </w:rPr>
          <w:t>www.bcn.cl</w:t>
        </w:r>
      </w:hyperlink>
      <w:r>
        <w:t>)</w:t>
      </w:r>
    </w:p>
    <w:p w:rsidR="00420BEE" w:rsidRDefault="00420BEE" w:rsidP="00682A1A">
      <w:pPr>
        <w:pStyle w:val="Prrafodelista"/>
        <w:numPr>
          <w:ilvl w:val="0"/>
          <w:numId w:val="4"/>
        </w:numPr>
        <w:spacing w:after="0" w:line="240" w:lineRule="auto"/>
        <w:jc w:val="both"/>
      </w:pPr>
      <w:r>
        <w:t>Decreto Nº 403, reglamento de la Ley</w:t>
      </w:r>
      <w:r w:rsidR="002B1ECA">
        <w:t xml:space="preserve"> Nº 20.330</w:t>
      </w:r>
      <w:r>
        <w:t>; publicado el 29 de agosto de 2009, Ministerio del Interior, SUBDERE</w:t>
      </w:r>
    </w:p>
    <w:p w:rsidR="00420BEE" w:rsidRDefault="00420BEE" w:rsidP="00682A1A">
      <w:pPr>
        <w:pStyle w:val="Prrafodelista"/>
        <w:numPr>
          <w:ilvl w:val="0"/>
          <w:numId w:val="4"/>
        </w:numPr>
        <w:spacing w:after="0" w:line="240" w:lineRule="auto"/>
        <w:jc w:val="both"/>
      </w:pPr>
      <w:r>
        <w:t>Ley Nº 20.027; publicada el 11 de junio de 2005, Ministerio de Educación, “Establece normas para el financiamiento de educación superior”</w:t>
      </w:r>
    </w:p>
    <w:p w:rsidR="00420BEE" w:rsidRDefault="00420BEE" w:rsidP="00682A1A">
      <w:pPr>
        <w:pStyle w:val="Prrafodelista"/>
        <w:numPr>
          <w:ilvl w:val="0"/>
          <w:numId w:val="4"/>
        </w:numPr>
        <w:spacing w:after="0" w:line="240" w:lineRule="auto"/>
        <w:jc w:val="both"/>
      </w:pPr>
      <w:r>
        <w:t>Ley Nº 19.287; publicada el 4 de febrero de 1994, Ministerio de Hacienda, Subsecretaría de Hacienda, “Modifica ley 18.591 y establece normas sobre fondos solidarios de crédito universitario”</w:t>
      </w:r>
    </w:p>
    <w:p w:rsidR="00420BEE" w:rsidRDefault="00420BEE" w:rsidP="00682A1A">
      <w:pPr>
        <w:pStyle w:val="Prrafodelista"/>
        <w:numPr>
          <w:ilvl w:val="0"/>
          <w:numId w:val="4"/>
        </w:numPr>
        <w:spacing w:after="0" w:line="240" w:lineRule="auto"/>
        <w:jc w:val="both"/>
      </w:pPr>
      <w:r>
        <w:t>Decreto Nº 909</w:t>
      </w:r>
      <w:r w:rsidR="002B1ECA">
        <w:t>; publicado el 10 de marzo de 2010, Ministerio del Interior, SUBDERE, “Determina número máximo de beneficiarios por región para el año 2010 y establece comunas con menor nivel de desarrollo, para aplicación de la Ley Nº 20.330 y reglamento respectivo”</w:t>
      </w:r>
    </w:p>
    <w:p w:rsidR="002B1ECA" w:rsidRDefault="002B1ECA" w:rsidP="00682A1A">
      <w:pPr>
        <w:pStyle w:val="Prrafodelista"/>
        <w:numPr>
          <w:ilvl w:val="0"/>
          <w:numId w:val="4"/>
        </w:numPr>
        <w:spacing w:after="0" w:line="240" w:lineRule="auto"/>
        <w:jc w:val="both"/>
      </w:pPr>
      <w:r>
        <w:t>Decreto Nº 1064; publicado el 9 de abril de 2011, Ministerio del Interior, SUBDERE, “Determina número máximo de beneficiarios por región para el año 2011 y establece comunas con menor nivel de desarrollo para aplicación de la Ley Nº 20.330 y reglamento respectivo”</w:t>
      </w:r>
    </w:p>
    <w:p w:rsidR="002B1ECA" w:rsidRDefault="002B1ECA" w:rsidP="00682A1A">
      <w:pPr>
        <w:pStyle w:val="Prrafodelista"/>
        <w:numPr>
          <w:ilvl w:val="0"/>
          <w:numId w:val="4"/>
        </w:numPr>
        <w:spacing w:after="0" w:line="240" w:lineRule="auto"/>
        <w:jc w:val="both"/>
      </w:pPr>
      <w:r>
        <w:t>Decreto Nº 1481; publicado el 19 de mayo de 2012, Ministerio del Interior, SUBDERE, “Determina número máximo de beneficiarios por región para el año 2012 y establece comunas con menor nivel de desarrollo para aplicación de la Ley Nº 20.330 y reglamento respectivo”</w:t>
      </w:r>
    </w:p>
    <w:p w:rsidR="00AB7BA7" w:rsidRDefault="00AB7BA7" w:rsidP="00682A1A">
      <w:pPr>
        <w:pStyle w:val="Prrafodelista"/>
        <w:numPr>
          <w:ilvl w:val="0"/>
          <w:numId w:val="4"/>
        </w:numPr>
        <w:spacing w:after="0" w:line="240" w:lineRule="auto"/>
        <w:jc w:val="both"/>
      </w:pPr>
      <w:r>
        <w:t>Oficio circular Nº 37, del 29 de abril de 2010, del Subsecretario de Desarrollo Regional y Administrativo a los Intendentes e Intendentas del país, Mat. “Directrices para la aplicación de las normas señaladas”; adjunta un “procedimiento sugerido”</w:t>
      </w:r>
    </w:p>
    <w:p w:rsidR="00AB7BA7" w:rsidRDefault="00AB7BA7" w:rsidP="00682A1A">
      <w:pPr>
        <w:pStyle w:val="Prrafodelista"/>
        <w:numPr>
          <w:ilvl w:val="0"/>
          <w:numId w:val="4"/>
        </w:numPr>
        <w:spacing w:after="0" w:line="240" w:lineRule="auto"/>
        <w:jc w:val="both"/>
      </w:pPr>
      <w:r>
        <w:t>Oficio ordinario Nº 130422/42375, del 10 de septiembre de 2010, de la Tesorera General de la República al Subsecretario de Desarrollo Regional y Administrativo, Mat. “Informa y adjunta procedimiento”.</w:t>
      </w:r>
    </w:p>
    <w:p w:rsidR="00E7407E" w:rsidRDefault="00E7407E" w:rsidP="00682A1A">
      <w:pPr>
        <w:pStyle w:val="Prrafodelista"/>
        <w:numPr>
          <w:ilvl w:val="0"/>
          <w:numId w:val="4"/>
        </w:numPr>
        <w:spacing w:after="0" w:line="240" w:lineRule="auto"/>
        <w:jc w:val="both"/>
      </w:pPr>
      <w:r>
        <w:t xml:space="preserve">Leyes de </w:t>
      </w:r>
      <w:r w:rsidR="006D49A5">
        <w:t>Presupuestos del sector público, años 2010, 2011 y 2012.</w:t>
      </w:r>
    </w:p>
    <w:p w:rsidR="00AB7BA7" w:rsidRDefault="00AB7BA7" w:rsidP="00682A1A">
      <w:pPr>
        <w:pStyle w:val="Prrafodelista"/>
        <w:numPr>
          <w:ilvl w:val="0"/>
          <w:numId w:val="4"/>
        </w:numPr>
        <w:spacing w:after="0" w:line="240" w:lineRule="auto"/>
        <w:jc w:val="both"/>
      </w:pPr>
      <w:r>
        <w:t>Otros documentos provistos por las intendencias.</w:t>
      </w:r>
    </w:p>
    <w:p w:rsidR="00682A1A" w:rsidRDefault="00682A1A" w:rsidP="00682A1A">
      <w:pPr>
        <w:spacing w:after="0" w:line="240" w:lineRule="auto"/>
        <w:jc w:val="both"/>
      </w:pPr>
    </w:p>
    <w:p w:rsidR="00B7540E" w:rsidRDefault="00AB7BA7" w:rsidP="00682A1A">
      <w:pPr>
        <w:spacing w:after="0" w:line="240" w:lineRule="auto"/>
        <w:jc w:val="both"/>
      </w:pPr>
      <w:r>
        <w:t>También</w:t>
      </w:r>
      <w:r w:rsidR="000D7E4D">
        <w:t>,</w:t>
      </w:r>
      <w:r>
        <w:t xml:space="preserve"> entre las técnicas de análisis cualitativo</w:t>
      </w:r>
      <w:r w:rsidR="000D7E4D">
        <w:t>, fueron realizadas</w:t>
      </w:r>
      <w:r w:rsidR="006D49A5">
        <w:t xml:space="preserve"> </w:t>
      </w:r>
      <w:r w:rsidR="00B7540E">
        <w:t xml:space="preserve">entrevistas semi-estructuradas a los </w:t>
      </w:r>
      <w:r w:rsidR="00C016A5">
        <w:t xml:space="preserve">15 </w:t>
      </w:r>
      <w:r w:rsidR="00B7540E">
        <w:t>encargados regionales de la aplicación de la Ley Nº 20.330, normalmente asistentes sociales</w:t>
      </w:r>
      <w:r w:rsidR="003421C8">
        <w:t xml:space="preserve"> de los departamentos sociales y algunos abogados</w:t>
      </w:r>
      <w:r w:rsidR="00B7540E">
        <w:t xml:space="preserve"> </w:t>
      </w:r>
      <w:r w:rsidR="003421C8">
        <w:t xml:space="preserve">de los departamentos jurídicos </w:t>
      </w:r>
      <w:r w:rsidR="00B7540E">
        <w:t>de las intendencias.</w:t>
      </w:r>
    </w:p>
    <w:p w:rsidR="00682A1A" w:rsidRDefault="00682A1A" w:rsidP="00682A1A">
      <w:pPr>
        <w:spacing w:after="0" w:line="240" w:lineRule="auto"/>
        <w:jc w:val="both"/>
      </w:pPr>
    </w:p>
    <w:p w:rsidR="00B7540E" w:rsidRDefault="00B7540E" w:rsidP="00682A1A">
      <w:pPr>
        <w:spacing w:after="0" w:line="240" w:lineRule="auto"/>
        <w:jc w:val="both"/>
      </w:pPr>
      <w:r>
        <w:t xml:space="preserve">Además, se entrevistó al encargado de la SUBDERE, quien tiene la responsabilidad de concretar el decreto anual que establece el listado de comunas con menor desarrollo –en base a indicadores </w:t>
      </w:r>
      <w:r>
        <w:lastRenderedPageBreak/>
        <w:t>cuantitativos disponibles en el Sistema Nacional de Información Municipal (SINIM</w:t>
      </w:r>
      <w:proofErr w:type="gramStart"/>
      <w:r>
        <w:t>)–</w:t>
      </w:r>
      <w:proofErr w:type="gramEnd"/>
      <w:r>
        <w:t>, así como la cantidad de cupos que podrán acceder al beneficio monetario por cada región.</w:t>
      </w:r>
      <w:r w:rsidR="000C20E2">
        <w:t xml:space="preserve"> </w:t>
      </w:r>
      <w:r w:rsidR="006D49A5">
        <w:t>A</w:t>
      </w:r>
      <w:r w:rsidR="000C20E2">
        <w:t xml:space="preserve"> falta de otros responsables nacionales, este funcionario cumple también otras funciones de asistencia a los municipios en la aplicación de la Ley y su reglamento, e incluso eventual asistencia directa a los beneficiarios, sin perjuicio de que por procedimiento normal éstos deberían vincularse con sus intendencias.</w:t>
      </w:r>
    </w:p>
    <w:p w:rsidR="00682A1A" w:rsidRDefault="00682A1A" w:rsidP="00682A1A">
      <w:pPr>
        <w:spacing w:after="0" w:line="240" w:lineRule="auto"/>
        <w:jc w:val="both"/>
      </w:pPr>
    </w:p>
    <w:p w:rsidR="000C20E2" w:rsidRDefault="000C20E2" w:rsidP="00682A1A">
      <w:pPr>
        <w:spacing w:after="0" w:line="240" w:lineRule="auto"/>
        <w:jc w:val="both"/>
      </w:pPr>
      <w:r>
        <w:t xml:space="preserve">Por último, aunque se había programado entrevistar a una de las funcionarias encargadas de cursar el pago de los beneficios, en la Tesorería General de la República, la entrevista </w:t>
      </w:r>
      <w:r w:rsidR="003421C8">
        <w:t>no pudo ser coordinada</w:t>
      </w:r>
      <w:r>
        <w:t>.</w:t>
      </w:r>
      <w:r w:rsidR="003421C8">
        <w:t xml:space="preserve"> No obstante, al comienzo del trabajo el equipo evaluador se reunión con el equipo de Tesorería, pudiéndose aclarar anticipadamente algun</w:t>
      </w:r>
      <w:r w:rsidR="000D7E4D">
        <w:t>os puntos que se revisarían en est</w:t>
      </w:r>
      <w:r w:rsidR="003421C8">
        <w:t>a evaluación.</w:t>
      </w:r>
    </w:p>
    <w:p w:rsidR="00682A1A" w:rsidRDefault="00682A1A" w:rsidP="00682A1A">
      <w:pPr>
        <w:spacing w:after="0" w:line="240" w:lineRule="auto"/>
        <w:jc w:val="both"/>
      </w:pPr>
    </w:p>
    <w:p w:rsidR="00AB7BA7" w:rsidRDefault="006D49A5" w:rsidP="00682A1A">
      <w:pPr>
        <w:spacing w:after="0" w:line="240" w:lineRule="auto"/>
        <w:jc w:val="both"/>
      </w:pPr>
      <w:r>
        <w:t>R</w:t>
      </w:r>
      <w:r w:rsidR="00AB7BA7">
        <w:t>euniones llevadas a cabo con una funcionaria de la Dirección de Presupuesto</w:t>
      </w:r>
      <w:r>
        <w:t>s</w:t>
      </w:r>
      <w:r w:rsidR="00AB7BA7">
        <w:t xml:space="preserve"> del Ministerio de Hacienda y un funcionario de la División de Educación Superior del Ministerio de Educación permitieron llegar a algunas conclusiones sobre el rol de esas in</w:t>
      </w:r>
      <w:r w:rsidR="000D7E4D">
        <w:t>stituciones en relación con la L</w:t>
      </w:r>
      <w:r w:rsidR="00AB7BA7">
        <w:t xml:space="preserve">ey </w:t>
      </w:r>
      <w:r w:rsidR="000D7E4D">
        <w:t xml:space="preserve">Nº </w:t>
      </w:r>
      <w:r w:rsidR="00AB7BA7">
        <w:t>20.330 y su aplicación.</w:t>
      </w:r>
    </w:p>
    <w:p w:rsidR="00682A1A" w:rsidRDefault="00682A1A" w:rsidP="00682A1A">
      <w:pPr>
        <w:spacing w:after="0" w:line="240" w:lineRule="auto"/>
        <w:jc w:val="both"/>
      </w:pPr>
    </w:p>
    <w:p w:rsidR="003421C8" w:rsidRDefault="000C20E2" w:rsidP="00682A1A">
      <w:pPr>
        <w:spacing w:after="0" w:line="240" w:lineRule="auto"/>
        <w:jc w:val="both"/>
      </w:pPr>
      <w:r>
        <w:t>Además</w:t>
      </w:r>
      <w:r w:rsidR="00AB7BA7">
        <w:t xml:space="preserve"> de las entrevistas y reuniones</w:t>
      </w:r>
      <w:r>
        <w:t>, se aplicó una encuesta con preguntas cerradas y abiertas</w:t>
      </w:r>
      <w:r w:rsidR="00AB7BA7">
        <w:t>, a los beneficiarios de la Ley en los procesos de los años 2010 y 2011 (la ley sólo tiene 2 años en operación; actual</w:t>
      </w:r>
      <w:r w:rsidR="00F2198F">
        <w:t>mente s</w:t>
      </w:r>
      <w:r w:rsidR="00AB7BA7">
        <w:t>e desarrolla el proceso 2012 de postulaciones al beneficio)</w:t>
      </w:r>
      <w:r>
        <w:t xml:space="preserve">. </w:t>
      </w:r>
      <w:r w:rsidR="00AB7BA7">
        <w:t xml:space="preserve">La encuesta </w:t>
      </w:r>
      <w:r>
        <w:t xml:space="preserve">fue distribuida por correo electrónico entre </w:t>
      </w:r>
      <w:r w:rsidR="00BE129F">
        <w:t>163</w:t>
      </w:r>
      <w:r w:rsidRPr="00AB7BA7">
        <w:t xml:space="preserve"> </w:t>
      </w:r>
      <w:r w:rsidR="00F2198F">
        <w:t xml:space="preserve">beneficiarios, </w:t>
      </w:r>
      <w:r w:rsidR="00F2198F" w:rsidRPr="000D7E4D">
        <w:rPr>
          <w:b/>
        </w:rPr>
        <w:t xml:space="preserve">recibiéndose </w:t>
      </w:r>
      <w:r w:rsidR="00E50951" w:rsidRPr="000D7E4D">
        <w:rPr>
          <w:b/>
        </w:rPr>
        <w:t>90</w:t>
      </w:r>
      <w:r w:rsidR="00F2198F" w:rsidRPr="000D7E4D">
        <w:rPr>
          <w:b/>
        </w:rPr>
        <w:t xml:space="preserve"> encuestas respondidas</w:t>
      </w:r>
      <w:r w:rsidR="008462E8" w:rsidRPr="000D7E4D">
        <w:rPr>
          <w:b/>
        </w:rPr>
        <w:t>, que representan el 55% de la muestra</w:t>
      </w:r>
      <w:r w:rsidR="008462E8">
        <w:t xml:space="preserve">. </w:t>
      </w:r>
      <w:r w:rsidR="00E50951">
        <w:t xml:space="preserve"> </w:t>
      </w:r>
      <w:r w:rsidR="00F2198F">
        <w:t>Éstas s</w:t>
      </w:r>
      <w:r w:rsidR="00E50951">
        <w:t xml:space="preserve">e </w:t>
      </w:r>
      <w:r w:rsidR="00D33AE3">
        <w:t>distribuyen</w:t>
      </w:r>
      <w:r w:rsidR="00F2198F">
        <w:t xml:space="preserve"> regionalmente como se indica a continuación y en el Gráfico Nº 1:</w:t>
      </w:r>
    </w:p>
    <w:p w:rsidR="00682A1A" w:rsidRDefault="00682A1A" w:rsidP="00682A1A">
      <w:pPr>
        <w:spacing w:after="0" w:line="240" w:lineRule="auto"/>
        <w:jc w:val="both"/>
      </w:pPr>
    </w:p>
    <w:p w:rsidR="00F2198F" w:rsidRDefault="00F2198F" w:rsidP="00682A1A">
      <w:pPr>
        <w:pStyle w:val="Prrafodelista"/>
        <w:numPr>
          <w:ilvl w:val="0"/>
          <w:numId w:val="10"/>
        </w:numPr>
        <w:spacing w:after="0" w:line="240" w:lineRule="auto"/>
        <w:jc w:val="both"/>
      </w:pPr>
      <w:r>
        <w:t xml:space="preserve">3 en Región de Tarapacá: 2 </w:t>
      </w:r>
      <w:proofErr w:type="spellStart"/>
      <w:r>
        <w:t>Camiña</w:t>
      </w:r>
      <w:proofErr w:type="spellEnd"/>
      <w:r>
        <w:t xml:space="preserve"> – 1 Huara</w:t>
      </w:r>
    </w:p>
    <w:p w:rsidR="00F2198F" w:rsidRDefault="00F2198F" w:rsidP="00682A1A">
      <w:pPr>
        <w:pStyle w:val="Prrafodelista"/>
        <w:numPr>
          <w:ilvl w:val="0"/>
          <w:numId w:val="10"/>
        </w:numPr>
        <w:spacing w:after="0" w:line="240" w:lineRule="auto"/>
        <w:jc w:val="both"/>
      </w:pPr>
      <w:r>
        <w:t xml:space="preserve">2 en Región de Antofagasta:  1 </w:t>
      </w:r>
      <w:proofErr w:type="spellStart"/>
      <w:r>
        <w:t>Ollagüe</w:t>
      </w:r>
      <w:proofErr w:type="spellEnd"/>
      <w:r>
        <w:t xml:space="preserve"> – 1 Sierra Gorda</w:t>
      </w:r>
    </w:p>
    <w:p w:rsidR="00F2198F" w:rsidRDefault="00F2198F" w:rsidP="00682A1A">
      <w:pPr>
        <w:pStyle w:val="Prrafodelista"/>
        <w:numPr>
          <w:ilvl w:val="0"/>
          <w:numId w:val="10"/>
        </w:numPr>
        <w:spacing w:after="0" w:line="240" w:lineRule="auto"/>
        <w:jc w:val="both"/>
      </w:pPr>
      <w:r>
        <w:t>1 en Región de Coquimbo: 1 Monte Patria</w:t>
      </w:r>
    </w:p>
    <w:p w:rsidR="00F2198F" w:rsidRDefault="00F2198F" w:rsidP="00682A1A">
      <w:pPr>
        <w:pStyle w:val="Prrafodelista"/>
        <w:numPr>
          <w:ilvl w:val="0"/>
          <w:numId w:val="10"/>
        </w:numPr>
        <w:spacing w:after="0" w:line="240" w:lineRule="auto"/>
        <w:jc w:val="both"/>
      </w:pPr>
      <w:r>
        <w:t xml:space="preserve">2 en Región de Valparaíso: 1 Calle Larga – 1 </w:t>
      </w:r>
      <w:proofErr w:type="spellStart"/>
      <w:r>
        <w:t>Llay</w:t>
      </w:r>
      <w:proofErr w:type="spellEnd"/>
      <w:r>
        <w:t xml:space="preserve"> </w:t>
      </w:r>
      <w:proofErr w:type="spellStart"/>
      <w:r>
        <w:t>Llay</w:t>
      </w:r>
      <w:proofErr w:type="spellEnd"/>
    </w:p>
    <w:p w:rsidR="00F2198F" w:rsidRDefault="00F2198F" w:rsidP="00682A1A">
      <w:pPr>
        <w:pStyle w:val="Prrafodelista"/>
        <w:numPr>
          <w:ilvl w:val="0"/>
          <w:numId w:val="10"/>
        </w:numPr>
        <w:spacing w:after="0" w:line="240" w:lineRule="auto"/>
        <w:jc w:val="both"/>
      </w:pPr>
      <w:r>
        <w:t xml:space="preserve">6 en Región de O`Higgins: 1 Santa Cruz – 1 Palmilla – 1 Quinta de </w:t>
      </w:r>
      <w:proofErr w:type="spellStart"/>
      <w:r>
        <w:t>Tilcoco</w:t>
      </w:r>
      <w:proofErr w:type="spellEnd"/>
      <w:r>
        <w:t xml:space="preserve"> – 1 Navidad – 1 </w:t>
      </w:r>
      <w:proofErr w:type="spellStart"/>
      <w:r>
        <w:t>Litueche</w:t>
      </w:r>
      <w:proofErr w:type="spellEnd"/>
      <w:r>
        <w:t xml:space="preserve"> – 1 </w:t>
      </w:r>
      <w:proofErr w:type="spellStart"/>
      <w:r>
        <w:t>Doñihue</w:t>
      </w:r>
      <w:proofErr w:type="spellEnd"/>
    </w:p>
    <w:p w:rsidR="00F2198F" w:rsidRDefault="00F2198F" w:rsidP="00682A1A">
      <w:pPr>
        <w:pStyle w:val="Prrafodelista"/>
        <w:numPr>
          <w:ilvl w:val="0"/>
          <w:numId w:val="10"/>
        </w:numPr>
        <w:spacing w:after="0" w:line="240" w:lineRule="auto"/>
        <w:jc w:val="both"/>
      </w:pPr>
      <w:r>
        <w:t xml:space="preserve">10 en Región del Maule: 1 </w:t>
      </w:r>
      <w:proofErr w:type="spellStart"/>
      <w:r>
        <w:t>Hualañé</w:t>
      </w:r>
      <w:proofErr w:type="spellEnd"/>
      <w:r>
        <w:t xml:space="preserve"> – 1 Retiro – 1 San Rafael – 1 Chanco – 1 Villa Alegre – 2 </w:t>
      </w:r>
      <w:proofErr w:type="spellStart"/>
      <w:r>
        <w:t>Colbún</w:t>
      </w:r>
      <w:proofErr w:type="spellEnd"/>
      <w:r>
        <w:t xml:space="preserve"> – 2 San Javier – 1 Maule</w:t>
      </w:r>
    </w:p>
    <w:p w:rsidR="00F2198F" w:rsidRDefault="00F2198F" w:rsidP="00682A1A">
      <w:pPr>
        <w:pStyle w:val="Prrafodelista"/>
        <w:numPr>
          <w:ilvl w:val="0"/>
          <w:numId w:val="10"/>
        </w:numPr>
        <w:spacing w:after="0" w:line="240" w:lineRule="auto"/>
        <w:jc w:val="both"/>
      </w:pPr>
      <w:r>
        <w:t xml:space="preserve">22 en Región del Biobío:  2 </w:t>
      </w:r>
      <w:proofErr w:type="spellStart"/>
      <w:r>
        <w:t>Ninhue</w:t>
      </w:r>
      <w:proofErr w:type="spellEnd"/>
      <w:r>
        <w:t xml:space="preserve"> – 2 Portezuelo – 2 Florida – 2 Pinto – 3 Laja – 2 El Carmen – 2 </w:t>
      </w:r>
      <w:proofErr w:type="spellStart"/>
      <w:r>
        <w:t>Tirúa</w:t>
      </w:r>
      <w:proofErr w:type="spellEnd"/>
      <w:r>
        <w:t xml:space="preserve"> – 1 </w:t>
      </w:r>
      <w:proofErr w:type="spellStart"/>
      <w:r>
        <w:t>Cobquecura</w:t>
      </w:r>
      <w:proofErr w:type="spellEnd"/>
      <w:r>
        <w:t xml:space="preserve"> – 1 </w:t>
      </w:r>
      <w:proofErr w:type="spellStart"/>
      <w:r>
        <w:t>Quilleco</w:t>
      </w:r>
      <w:proofErr w:type="spellEnd"/>
      <w:r>
        <w:t xml:space="preserve"> – 1 Santa Bárbara – 1 San Nicolás - 2 Hualqui – 1 </w:t>
      </w:r>
      <w:proofErr w:type="spellStart"/>
      <w:r>
        <w:t>Quirihue</w:t>
      </w:r>
      <w:proofErr w:type="spellEnd"/>
    </w:p>
    <w:p w:rsidR="00F2198F" w:rsidRDefault="00F2198F" w:rsidP="00682A1A">
      <w:pPr>
        <w:pStyle w:val="Prrafodelista"/>
        <w:numPr>
          <w:ilvl w:val="0"/>
          <w:numId w:val="10"/>
        </w:numPr>
        <w:spacing w:after="0" w:line="240" w:lineRule="auto"/>
        <w:jc w:val="both"/>
      </w:pPr>
      <w:r>
        <w:t xml:space="preserve">13 en Región de la Araucanía: 3 Pucón – 1 </w:t>
      </w:r>
      <w:proofErr w:type="spellStart"/>
      <w:r>
        <w:t>Pitrufquén</w:t>
      </w:r>
      <w:proofErr w:type="spellEnd"/>
      <w:r>
        <w:t xml:space="preserve"> – 2 Lonquimay – 2 </w:t>
      </w:r>
      <w:proofErr w:type="spellStart"/>
      <w:r>
        <w:t>Loncoche</w:t>
      </w:r>
      <w:proofErr w:type="spellEnd"/>
      <w:r>
        <w:t xml:space="preserve"> – 2 Los Sauces – 1 </w:t>
      </w:r>
      <w:proofErr w:type="spellStart"/>
      <w:r>
        <w:t>Ercilla</w:t>
      </w:r>
      <w:proofErr w:type="spellEnd"/>
      <w:r>
        <w:t xml:space="preserve"> – 1 Freire – 1 </w:t>
      </w:r>
      <w:proofErr w:type="spellStart"/>
      <w:r>
        <w:t>Galvarino</w:t>
      </w:r>
      <w:proofErr w:type="spellEnd"/>
    </w:p>
    <w:p w:rsidR="00F2198F" w:rsidRDefault="00F2198F" w:rsidP="00682A1A">
      <w:pPr>
        <w:pStyle w:val="Prrafodelista"/>
        <w:numPr>
          <w:ilvl w:val="0"/>
          <w:numId w:val="10"/>
        </w:numPr>
        <w:spacing w:after="0" w:line="240" w:lineRule="auto"/>
        <w:jc w:val="both"/>
      </w:pPr>
      <w:r>
        <w:t xml:space="preserve">2 en Región de Los </w:t>
      </w:r>
      <w:proofErr w:type="spellStart"/>
      <w:r>
        <w:t>Rios</w:t>
      </w:r>
      <w:proofErr w:type="spellEnd"/>
      <w:r>
        <w:t xml:space="preserve">: 1 </w:t>
      </w:r>
      <w:proofErr w:type="spellStart"/>
      <w:r>
        <w:t>Futrono</w:t>
      </w:r>
      <w:proofErr w:type="spellEnd"/>
      <w:r>
        <w:t xml:space="preserve"> – 1 La Unión</w:t>
      </w:r>
    </w:p>
    <w:p w:rsidR="00F2198F" w:rsidRDefault="00F2198F" w:rsidP="00682A1A">
      <w:pPr>
        <w:pStyle w:val="Prrafodelista"/>
        <w:numPr>
          <w:ilvl w:val="0"/>
          <w:numId w:val="10"/>
        </w:numPr>
        <w:spacing w:after="0" w:line="240" w:lineRule="auto"/>
        <w:jc w:val="both"/>
      </w:pPr>
      <w:r>
        <w:t xml:space="preserve">21 en Región de los Lagos: 3 </w:t>
      </w:r>
      <w:proofErr w:type="spellStart"/>
      <w:r>
        <w:t>Puyehue</w:t>
      </w:r>
      <w:proofErr w:type="spellEnd"/>
      <w:r>
        <w:t xml:space="preserve"> – 1 </w:t>
      </w:r>
      <w:proofErr w:type="spellStart"/>
      <w:r>
        <w:t>Quemchi</w:t>
      </w:r>
      <w:proofErr w:type="spellEnd"/>
      <w:r>
        <w:t xml:space="preserve"> – 1 Osorno – 6 Los Muermos – 1 </w:t>
      </w:r>
      <w:proofErr w:type="spellStart"/>
      <w:r>
        <w:t>Maullín</w:t>
      </w:r>
      <w:proofErr w:type="spellEnd"/>
      <w:r>
        <w:t xml:space="preserve"> – 2 Río Negro – 1 </w:t>
      </w:r>
      <w:proofErr w:type="spellStart"/>
      <w:r>
        <w:t>Hualaihué</w:t>
      </w:r>
      <w:proofErr w:type="spellEnd"/>
      <w:r>
        <w:t xml:space="preserve"> – 2 </w:t>
      </w:r>
      <w:proofErr w:type="spellStart"/>
      <w:r>
        <w:t>Quinchao</w:t>
      </w:r>
      <w:proofErr w:type="spellEnd"/>
      <w:r>
        <w:t xml:space="preserve"> – 2 </w:t>
      </w:r>
      <w:proofErr w:type="spellStart"/>
      <w:r>
        <w:t>Queilen</w:t>
      </w:r>
      <w:proofErr w:type="spellEnd"/>
      <w:r>
        <w:t xml:space="preserve"> – 1 San Juan de la Costa – 1 </w:t>
      </w:r>
      <w:proofErr w:type="spellStart"/>
      <w:r>
        <w:t>Chaitén</w:t>
      </w:r>
      <w:proofErr w:type="spellEnd"/>
    </w:p>
    <w:p w:rsidR="00F2198F" w:rsidRDefault="00F2198F" w:rsidP="00682A1A">
      <w:pPr>
        <w:pStyle w:val="Prrafodelista"/>
        <w:numPr>
          <w:ilvl w:val="0"/>
          <w:numId w:val="10"/>
        </w:numPr>
        <w:spacing w:after="0" w:line="240" w:lineRule="auto"/>
        <w:jc w:val="both"/>
      </w:pPr>
      <w:r>
        <w:t>1 en Región de Aisén: 1 O`Higgins</w:t>
      </w:r>
    </w:p>
    <w:p w:rsidR="00F2198F" w:rsidRDefault="00F2198F" w:rsidP="00682A1A">
      <w:pPr>
        <w:pStyle w:val="Prrafodelista"/>
        <w:numPr>
          <w:ilvl w:val="0"/>
          <w:numId w:val="10"/>
        </w:numPr>
        <w:spacing w:after="0" w:line="240" w:lineRule="auto"/>
        <w:jc w:val="both"/>
      </w:pPr>
      <w:r>
        <w:t>4 en Región de Magallanes: 3 Natales – 1 Cabo de Hornos</w:t>
      </w:r>
    </w:p>
    <w:p w:rsidR="00F2198F" w:rsidRDefault="00F2198F" w:rsidP="00682A1A">
      <w:pPr>
        <w:pStyle w:val="Prrafodelista"/>
        <w:numPr>
          <w:ilvl w:val="0"/>
          <w:numId w:val="10"/>
        </w:numPr>
        <w:spacing w:after="0" w:line="240" w:lineRule="auto"/>
        <w:jc w:val="both"/>
      </w:pPr>
      <w:r>
        <w:t xml:space="preserve">3 en Región Metropolitana de Santiago: 2 </w:t>
      </w:r>
      <w:proofErr w:type="spellStart"/>
      <w:r>
        <w:t>Til</w:t>
      </w:r>
      <w:proofErr w:type="spellEnd"/>
      <w:r>
        <w:t xml:space="preserve"> </w:t>
      </w:r>
      <w:proofErr w:type="spellStart"/>
      <w:r>
        <w:t>Til</w:t>
      </w:r>
      <w:proofErr w:type="spellEnd"/>
      <w:r>
        <w:t xml:space="preserve"> – 1 San Pedro.</w:t>
      </w:r>
    </w:p>
    <w:p w:rsidR="00F2198F" w:rsidRDefault="00F2198F" w:rsidP="00682A1A">
      <w:pPr>
        <w:pStyle w:val="Prrafodelista"/>
        <w:spacing w:after="0" w:line="240" w:lineRule="auto"/>
        <w:jc w:val="both"/>
      </w:pPr>
    </w:p>
    <w:p w:rsidR="00F2198F" w:rsidRDefault="00F2198F" w:rsidP="00682A1A">
      <w:pPr>
        <w:spacing w:after="0" w:line="240" w:lineRule="auto"/>
      </w:pPr>
    </w:p>
    <w:p w:rsidR="000D7E4D" w:rsidRDefault="000D7E4D">
      <w:pPr>
        <w:rPr>
          <w:b/>
        </w:rPr>
      </w:pPr>
      <w:r>
        <w:rPr>
          <w:b/>
        </w:rPr>
        <w:br w:type="page"/>
      </w:r>
    </w:p>
    <w:p w:rsidR="00F2198F" w:rsidRDefault="00F2198F" w:rsidP="00682A1A">
      <w:pPr>
        <w:spacing w:after="0" w:line="240" w:lineRule="auto"/>
        <w:jc w:val="center"/>
        <w:rPr>
          <w:b/>
        </w:rPr>
      </w:pPr>
      <w:r w:rsidRPr="00F2198F">
        <w:rPr>
          <w:b/>
        </w:rPr>
        <w:lastRenderedPageBreak/>
        <w:t>GR</w:t>
      </w:r>
      <w:r>
        <w:rPr>
          <w:b/>
        </w:rPr>
        <w:t>ÁFICO Nº 1:</w:t>
      </w:r>
    </w:p>
    <w:p w:rsidR="00F2198F" w:rsidRPr="00F2198F" w:rsidRDefault="00F2198F" w:rsidP="00682A1A">
      <w:pPr>
        <w:spacing w:after="0" w:line="240" w:lineRule="auto"/>
        <w:jc w:val="center"/>
        <w:rPr>
          <w:b/>
        </w:rPr>
      </w:pPr>
      <w:r w:rsidRPr="00F2198F">
        <w:rPr>
          <w:b/>
        </w:rPr>
        <w:t>DISTRIBUCIÓN REGIONAL DE ENCUESTAS RESPONDIDAS POR BENEFICIARIOS</w:t>
      </w:r>
    </w:p>
    <w:p w:rsidR="00D2333F" w:rsidRDefault="00D2333F" w:rsidP="00682A1A">
      <w:pPr>
        <w:spacing w:after="0" w:line="240" w:lineRule="auto"/>
        <w:jc w:val="center"/>
      </w:pPr>
      <w:r>
        <w:rPr>
          <w:noProof/>
          <w:lang w:eastAsia="es-CL"/>
        </w:rPr>
        <w:drawing>
          <wp:inline distT="0" distB="0" distL="0" distR="0" wp14:anchorId="67F8E4DC" wp14:editId="5270A8D5">
            <wp:extent cx="4580626" cy="2958861"/>
            <wp:effectExtent l="0" t="0" r="10795" b="13335"/>
            <wp:docPr id="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2333F" w:rsidRPr="00F2198F" w:rsidRDefault="00F2198F" w:rsidP="00682A1A">
      <w:pPr>
        <w:spacing w:after="0" w:line="240" w:lineRule="auto"/>
        <w:jc w:val="center"/>
        <w:rPr>
          <w:sz w:val="18"/>
          <w:szCs w:val="18"/>
        </w:rPr>
      </w:pPr>
      <w:r w:rsidRPr="00F2198F">
        <w:rPr>
          <w:sz w:val="18"/>
          <w:szCs w:val="18"/>
        </w:rPr>
        <w:t>Fuente: Elaboración propia</w:t>
      </w:r>
      <w:r w:rsidR="00F636B5">
        <w:rPr>
          <w:sz w:val="18"/>
          <w:szCs w:val="18"/>
        </w:rPr>
        <w:t>.</w:t>
      </w:r>
    </w:p>
    <w:p w:rsidR="00682A1A" w:rsidRDefault="00682A1A" w:rsidP="00682A1A">
      <w:pPr>
        <w:spacing w:after="0" w:line="240" w:lineRule="auto"/>
        <w:jc w:val="both"/>
      </w:pPr>
    </w:p>
    <w:p w:rsidR="000C20E2" w:rsidRDefault="000C20E2" w:rsidP="00682A1A">
      <w:pPr>
        <w:spacing w:after="0" w:line="240" w:lineRule="auto"/>
        <w:jc w:val="both"/>
      </w:pPr>
      <w:r>
        <w:t>A partir de las encuestas se obtuvieron datos cuantitativos y cualitativos (opiniones).</w:t>
      </w:r>
    </w:p>
    <w:p w:rsidR="00682A1A" w:rsidRDefault="00682A1A" w:rsidP="00682A1A">
      <w:pPr>
        <w:spacing w:after="0" w:line="240" w:lineRule="auto"/>
        <w:jc w:val="both"/>
      </w:pPr>
    </w:p>
    <w:p w:rsidR="0049786C" w:rsidRDefault="0049786C" w:rsidP="00682A1A">
      <w:pPr>
        <w:spacing w:after="0" w:line="240" w:lineRule="auto"/>
        <w:jc w:val="both"/>
      </w:pPr>
      <w:r>
        <w:t>Sobre las preguntas cerradas se pudo realizar un análisis cuantitativo, mientras que las preguntas abiertas fueron objeto de análisis de contenido.</w:t>
      </w:r>
    </w:p>
    <w:p w:rsidR="00682A1A" w:rsidRDefault="00682A1A" w:rsidP="00682A1A">
      <w:pPr>
        <w:spacing w:after="0" w:line="240" w:lineRule="auto"/>
        <w:jc w:val="both"/>
      </w:pPr>
    </w:p>
    <w:p w:rsidR="000C20E2" w:rsidRPr="00942DEA" w:rsidRDefault="000C20E2" w:rsidP="00682A1A">
      <w:pPr>
        <w:spacing w:after="0" w:line="240" w:lineRule="auto"/>
        <w:jc w:val="both"/>
      </w:pPr>
      <w:r w:rsidRPr="00942DEA">
        <w:t xml:space="preserve">Las pautas de entrevistas y encuestas </w:t>
      </w:r>
      <w:r w:rsidR="00682A1A" w:rsidRPr="00942DEA">
        <w:t xml:space="preserve">se adjuntan </w:t>
      </w:r>
      <w:r w:rsidR="00682A1A" w:rsidRPr="0056627B">
        <w:t>en A</w:t>
      </w:r>
      <w:r w:rsidRPr="0056627B">
        <w:t>nexo</w:t>
      </w:r>
      <w:r w:rsidR="0056627B">
        <w:t>s</w:t>
      </w:r>
      <w:r w:rsidR="008462E8" w:rsidRPr="0056627B">
        <w:t xml:space="preserve"> de este</w:t>
      </w:r>
      <w:r w:rsidR="008462E8">
        <w:t xml:space="preserve"> informe.</w:t>
      </w:r>
    </w:p>
    <w:p w:rsidR="00682A1A" w:rsidRDefault="00682A1A" w:rsidP="00682A1A">
      <w:pPr>
        <w:spacing w:after="0" w:line="240" w:lineRule="auto"/>
        <w:jc w:val="both"/>
      </w:pPr>
    </w:p>
    <w:p w:rsidR="00175C51" w:rsidRDefault="00942DEA" w:rsidP="00682A1A">
      <w:pPr>
        <w:spacing w:after="0" w:line="240" w:lineRule="auto"/>
        <w:jc w:val="both"/>
      </w:pPr>
      <w:r>
        <w:t xml:space="preserve">También se hizo análisis cuantitativo </w:t>
      </w:r>
      <w:r w:rsidR="005C403D">
        <w:t>del</w:t>
      </w:r>
      <w:r w:rsidR="00175C51">
        <w:t xml:space="preserve"> gasto financiero implicado en el otorgamiento del b</w:t>
      </w:r>
      <w:r w:rsidR="005C403D">
        <w:t>eneficio establecido en la Ley; de la</w:t>
      </w:r>
      <w:r w:rsidR="00175C51">
        <w:t xml:space="preserve"> utilización de los cupos anuales en relación con las comunas beneficiadas por decreto; </w:t>
      </w:r>
      <w:r w:rsidR="005C403D">
        <w:t xml:space="preserve">de </w:t>
      </w:r>
      <w:r w:rsidR="0030181A">
        <w:t>la continuidad en el desempeño de los profesionales en los cargos que los hacen acreedores del aporte estatal</w:t>
      </w:r>
      <w:r w:rsidR="0049786C">
        <w:t>; entre otros datos analizados.</w:t>
      </w:r>
    </w:p>
    <w:p w:rsidR="000D7E4D" w:rsidRDefault="000D7E4D" w:rsidP="00682A1A">
      <w:pPr>
        <w:spacing w:after="0" w:line="240" w:lineRule="auto"/>
        <w:jc w:val="both"/>
      </w:pPr>
    </w:p>
    <w:p w:rsidR="000D7E4D" w:rsidRDefault="000D7E4D" w:rsidP="00682A1A">
      <w:pPr>
        <w:spacing w:after="0" w:line="240" w:lineRule="auto"/>
        <w:jc w:val="both"/>
      </w:pPr>
      <w:r>
        <w:t>Es importante aclarar que, en virtud de la información obtenida y la forma y tiempos en que se obtuvo, la estructura del informe no responde con precisión a la estructura con que se formularon los objetivos, aunque en última instancia los cumple.</w:t>
      </w:r>
    </w:p>
    <w:p w:rsidR="005E03A8" w:rsidRDefault="005E03A8" w:rsidP="00682A1A">
      <w:pPr>
        <w:spacing w:after="0" w:line="240" w:lineRule="auto"/>
        <w:jc w:val="both"/>
      </w:pPr>
    </w:p>
    <w:p w:rsidR="008F5E29" w:rsidRPr="008615D1" w:rsidRDefault="008F5E29" w:rsidP="00682A1A">
      <w:pPr>
        <w:spacing w:after="0" w:line="240" w:lineRule="auto"/>
        <w:jc w:val="both"/>
      </w:pPr>
    </w:p>
    <w:p w:rsidR="007A4675" w:rsidRPr="009B6D95" w:rsidRDefault="007A4675" w:rsidP="009B6D95">
      <w:pPr>
        <w:pStyle w:val="Ttulo1"/>
        <w:numPr>
          <w:ilvl w:val="0"/>
          <w:numId w:val="5"/>
        </w:numPr>
      </w:pPr>
      <w:bookmarkStart w:id="8" w:name="_Toc341866709"/>
      <w:r w:rsidRPr="009B6D95">
        <w:t>INSTITUCIONALIDAD Y PROCESOS</w:t>
      </w:r>
      <w:bookmarkEnd w:id="8"/>
    </w:p>
    <w:p w:rsidR="00682A1A" w:rsidRDefault="00682A1A" w:rsidP="00682A1A">
      <w:pPr>
        <w:pStyle w:val="Prrafodelista"/>
        <w:spacing w:after="0" w:line="240" w:lineRule="auto"/>
        <w:ind w:left="360"/>
        <w:jc w:val="both"/>
        <w:rPr>
          <w:b/>
        </w:rPr>
      </w:pPr>
    </w:p>
    <w:p w:rsidR="005215B7" w:rsidRPr="009B6D95" w:rsidRDefault="007A4675" w:rsidP="009B6D95">
      <w:pPr>
        <w:pStyle w:val="Ttulo2"/>
      </w:pPr>
      <w:bookmarkStart w:id="9" w:name="_Toc341866710"/>
      <w:r w:rsidRPr="009B6D95">
        <w:t>Estructura institucional</w:t>
      </w:r>
      <w:r w:rsidR="00A871E8" w:rsidRPr="009B6D95">
        <w:t>, nivel nacional</w:t>
      </w:r>
      <w:bookmarkEnd w:id="9"/>
    </w:p>
    <w:p w:rsidR="005215B7" w:rsidRPr="005215B7" w:rsidRDefault="005215B7" w:rsidP="00682A1A">
      <w:pPr>
        <w:pStyle w:val="Prrafodelista"/>
        <w:spacing w:after="0" w:line="240" w:lineRule="auto"/>
        <w:ind w:left="360"/>
        <w:jc w:val="both"/>
        <w:rPr>
          <w:b/>
        </w:rPr>
      </w:pPr>
    </w:p>
    <w:p w:rsidR="005215B7" w:rsidRDefault="005215B7" w:rsidP="00682A1A">
      <w:pPr>
        <w:pStyle w:val="Prrafodelista"/>
        <w:numPr>
          <w:ilvl w:val="2"/>
          <w:numId w:val="5"/>
        </w:numPr>
        <w:spacing w:after="0" w:line="240" w:lineRule="auto"/>
        <w:jc w:val="both"/>
      </w:pPr>
      <w:r>
        <w:t>Responsabilidades institucionales, nivel nacional</w:t>
      </w:r>
    </w:p>
    <w:p w:rsidR="00682A1A" w:rsidRDefault="00682A1A" w:rsidP="00682A1A">
      <w:pPr>
        <w:spacing w:after="0" w:line="240" w:lineRule="auto"/>
        <w:jc w:val="both"/>
      </w:pPr>
    </w:p>
    <w:p w:rsidR="00D03A4E" w:rsidRDefault="009A17CA" w:rsidP="000D7E4D">
      <w:pPr>
        <w:spacing w:after="0" w:line="240" w:lineRule="auto"/>
        <w:jc w:val="both"/>
      </w:pPr>
      <w:r>
        <w:t>Como se in</w:t>
      </w:r>
      <w:r w:rsidR="00FF563C">
        <w:t>dicó en la primera parte, en la cadena de</w:t>
      </w:r>
      <w:r>
        <w:t xml:space="preserve"> procedimientos de aplicación de la ley Nº 20.330 </w:t>
      </w:r>
      <w:r w:rsidR="00FF563C">
        <w:t>intervienen 5</w:t>
      </w:r>
      <w:r>
        <w:t xml:space="preserve"> instituciones</w:t>
      </w:r>
      <w:r w:rsidR="00FF563C">
        <w:t>:</w:t>
      </w:r>
      <w:r w:rsidR="000D7E4D">
        <w:t xml:space="preserve"> </w:t>
      </w:r>
      <w:r>
        <w:t>SUBDERE</w:t>
      </w:r>
      <w:r w:rsidR="00FF563C">
        <w:t>;</w:t>
      </w:r>
      <w:r w:rsidR="000D7E4D">
        <w:t xml:space="preserve"> </w:t>
      </w:r>
      <w:r w:rsidR="00FF563C">
        <w:t>Municipio u otro organismo de apoyo a la gestión municipal inscrito en registro SUBDERE;</w:t>
      </w:r>
      <w:r w:rsidR="000D7E4D">
        <w:t xml:space="preserve"> </w:t>
      </w:r>
      <w:r>
        <w:t xml:space="preserve">Comisión Ingresa o Administrador Financiero </w:t>
      </w:r>
      <w:r w:rsidR="008615D1">
        <w:t xml:space="preserve">de cada casa </w:t>
      </w:r>
      <w:r w:rsidR="008615D1">
        <w:lastRenderedPageBreak/>
        <w:t>de estudio</w:t>
      </w:r>
      <w:r w:rsidR="00FF563C">
        <w:t>,</w:t>
      </w:r>
      <w:r w:rsidR="008615D1">
        <w:t xml:space="preserve"> </w:t>
      </w:r>
      <w:r>
        <w:t xml:space="preserve">según </w:t>
      </w:r>
      <w:r w:rsidR="00FF563C">
        <w:t>la ley por la cual se haya otorgado el crédito;</w:t>
      </w:r>
      <w:r w:rsidR="000D7E4D">
        <w:t xml:space="preserve"> </w:t>
      </w:r>
      <w:r w:rsidR="00FF563C">
        <w:t>Intendencia; y</w:t>
      </w:r>
      <w:r w:rsidR="000D7E4D">
        <w:t xml:space="preserve"> </w:t>
      </w:r>
      <w:r>
        <w:t>Tesorería</w:t>
      </w:r>
      <w:r w:rsidR="008615D1">
        <w:t xml:space="preserve"> General de la República</w:t>
      </w:r>
      <w:r w:rsidR="00FF563C">
        <w:t>.</w:t>
      </w:r>
    </w:p>
    <w:p w:rsidR="00682A1A" w:rsidRDefault="00682A1A" w:rsidP="00682A1A">
      <w:pPr>
        <w:spacing w:after="0" w:line="240" w:lineRule="auto"/>
        <w:jc w:val="both"/>
      </w:pPr>
    </w:p>
    <w:p w:rsidR="00B15F76" w:rsidRDefault="00B15F76" w:rsidP="00682A1A">
      <w:pPr>
        <w:spacing w:after="0" w:line="240" w:lineRule="auto"/>
        <w:jc w:val="both"/>
      </w:pPr>
      <w:r>
        <w:t xml:space="preserve">Hemos visto además que la ley fue promulgada a través del </w:t>
      </w:r>
      <w:r w:rsidRPr="00B15F76">
        <w:rPr>
          <w:b/>
        </w:rPr>
        <w:t>Ministerio de Educación</w:t>
      </w:r>
      <w:r>
        <w:t>.</w:t>
      </w:r>
    </w:p>
    <w:p w:rsidR="00B15F76" w:rsidRDefault="00B15F76" w:rsidP="00682A1A">
      <w:pPr>
        <w:spacing w:after="0" w:line="240" w:lineRule="auto"/>
        <w:jc w:val="both"/>
      </w:pPr>
    </w:p>
    <w:p w:rsidR="00706BF9" w:rsidRDefault="002C1BCD" w:rsidP="00682A1A">
      <w:pPr>
        <w:spacing w:after="0" w:line="240" w:lineRule="auto"/>
        <w:jc w:val="both"/>
      </w:pPr>
      <w:r>
        <w:t>Por su parte, l</w:t>
      </w:r>
      <w:r w:rsidR="00706BF9">
        <w:t xml:space="preserve">os sistemas de créditos para financiar estudios superiores afectos a la </w:t>
      </w:r>
      <w:r w:rsidR="000D7E4D">
        <w:t xml:space="preserve">aplicación de la </w:t>
      </w:r>
      <w:r w:rsidR="00FC5FE4">
        <w:t>L</w:t>
      </w:r>
      <w:r w:rsidR="00706BF9">
        <w:t xml:space="preserve">ey </w:t>
      </w:r>
      <w:r w:rsidR="00FC5FE4">
        <w:t>Nº 20.330</w:t>
      </w:r>
      <w:r w:rsidR="00706BF9">
        <w:t xml:space="preserve"> son dos, dependientes de distintos organismos y establecidos por dos leyes provenientes de distintas reparticiones:</w:t>
      </w:r>
    </w:p>
    <w:p w:rsidR="00682A1A" w:rsidRDefault="00682A1A" w:rsidP="00682A1A">
      <w:pPr>
        <w:spacing w:after="0" w:line="240" w:lineRule="auto"/>
        <w:jc w:val="both"/>
      </w:pPr>
    </w:p>
    <w:p w:rsidR="002C1BCD" w:rsidRDefault="00B15F76" w:rsidP="002C1BCD">
      <w:pPr>
        <w:pStyle w:val="Prrafodelista"/>
        <w:numPr>
          <w:ilvl w:val="0"/>
          <w:numId w:val="8"/>
        </w:numPr>
        <w:spacing w:after="0" w:line="240" w:lineRule="auto"/>
        <w:jc w:val="both"/>
      </w:pPr>
      <w:r>
        <w:t xml:space="preserve">Los créditos regidos por la </w:t>
      </w:r>
      <w:r w:rsidR="00327265">
        <w:t>Ley Nº 19.287</w:t>
      </w:r>
      <w:r w:rsidR="002C1BCD">
        <w:t>, que</w:t>
      </w:r>
      <w:r w:rsidR="00327265">
        <w:t xml:space="preserve"> </w:t>
      </w:r>
      <w:r w:rsidR="00803D0A">
        <w:t>fue promulgada a través</w:t>
      </w:r>
      <w:r w:rsidR="00327265">
        <w:t xml:space="preserve"> del </w:t>
      </w:r>
      <w:r w:rsidR="00327265" w:rsidRPr="006C7397">
        <w:rPr>
          <w:b/>
        </w:rPr>
        <w:t>Ministerio de Hacienda</w:t>
      </w:r>
      <w:r w:rsidR="00327265">
        <w:t>, Subsecretaría de Hacienda.</w:t>
      </w:r>
    </w:p>
    <w:p w:rsidR="008E233F" w:rsidRDefault="00B15F76" w:rsidP="002C1BCD">
      <w:pPr>
        <w:pStyle w:val="Prrafodelista"/>
        <w:numPr>
          <w:ilvl w:val="0"/>
          <w:numId w:val="8"/>
        </w:numPr>
        <w:spacing w:after="0" w:line="240" w:lineRule="auto"/>
        <w:jc w:val="both"/>
      </w:pPr>
      <w:r>
        <w:t>Los créditos regidos por l</w:t>
      </w:r>
      <w:r w:rsidR="008E233F">
        <w:t>a Ley Nº 20.027</w:t>
      </w:r>
      <w:r>
        <w:t>, que</w:t>
      </w:r>
      <w:r w:rsidR="008E233F">
        <w:t xml:space="preserve"> </w:t>
      </w:r>
      <w:r w:rsidR="00803D0A">
        <w:t xml:space="preserve">fue promulgada a través </w:t>
      </w:r>
      <w:r w:rsidR="008E233F">
        <w:t xml:space="preserve">del </w:t>
      </w:r>
      <w:r w:rsidR="008E233F" w:rsidRPr="002C1BCD">
        <w:rPr>
          <w:b/>
        </w:rPr>
        <w:t>Ministerio de Educación</w:t>
      </w:r>
      <w:r w:rsidR="008E233F">
        <w:t>.</w:t>
      </w:r>
    </w:p>
    <w:p w:rsidR="00682A1A" w:rsidRDefault="00682A1A" w:rsidP="00682A1A">
      <w:pPr>
        <w:spacing w:after="0" w:line="240" w:lineRule="auto"/>
        <w:jc w:val="both"/>
      </w:pPr>
    </w:p>
    <w:p w:rsidR="007739BF" w:rsidRDefault="007739BF" w:rsidP="00682A1A">
      <w:pPr>
        <w:spacing w:after="0" w:line="240" w:lineRule="auto"/>
        <w:jc w:val="both"/>
      </w:pPr>
      <w:r>
        <w:t xml:space="preserve">El </w:t>
      </w:r>
      <w:r w:rsidRPr="007739BF">
        <w:rPr>
          <w:b/>
        </w:rPr>
        <w:t>Ministerio de Hacienda</w:t>
      </w:r>
      <w:r>
        <w:t xml:space="preserve"> fija la disponibilidad presupuestaria y el número nacional de cupos que podrán acceder al beneficio de la Ley Nº 20.330.</w:t>
      </w:r>
    </w:p>
    <w:p w:rsidR="007739BF" w:rsidRDefault="007739BF" w:rsidP="00682A1A">
      <w:pPr>
        <w:spacing w:after="0" w:line="240" w:lineRule="auto"/>
        <w:jc w:val="both"/>
      </w:pPr>
    </w:p>
    <w:p w:rsidR="000D75DE" w:rsidRDefault="00B15F76" w:rsidP="00682A1A">
      <w:pPr>
        <w:spacing w:after="0" w:line="240" w:lineRule="auto"/>
        <w:jc w:val="both"/>
      </w:pPr>
      <w:r>
        <w:t xml:space="preserve">Por último, </w:t>
      </w:r>
      <w:r w:rsidRPr="00B15F76">
        <w:rPr>
          <w:b/>
        </w:rPr>
        <w:t>fue</w:t>
      </w:r>
      <w:r w:rsidR="000D75DE" w:rsidRPr="00FC5FE4">
        <w:rPr>
          <w:b/>
        </w:rPr>
        <w:t xml:space="preserve"> la SUBDERE la que dictó </w:t>
      </w:r>
      <w:r>
        <w:rPr>
          <w:b/>
        </w:rPr>
        <w:t>el</w:t>
      </w:r>
      <w:r w:rsidR="000D75DE" w:rsidRPr="00FC5FE4">
        <w:rPr>
          <w:b/>
        </w:rPr>
        <w:t xml:space="preserve"> reglamento (Decreto Nº 403 de 2009) y la que, anualmente y por decreto, determina las comunas “de menor desarrollo”</w:t>
      </w:r>
      <w:r w:rsidR="000D75DE">
        <w:t xml:space="preserve"> que podrán acceder a los cupos profesionales o técnicos y el número de cupos por región.</w:t>
      </w:r>
    </w:p>
    <w:p w:rsidR="00682A1A" w:rsidRDefault="00682A1A" w:rsidP="00682A1A">
      <w:pPr>
        <w:spacing w:after="0" w:line="240" w:lineRule="auto"/>
        <w:jc w:val="both"/>
      </w:pPr>
    </w:p>
    <w:p w:rsidR="00EE0AE9" w:rsidRDefault="00C63D3E" w:rsidP="00682A1A">
      <w:pPr>
        <w:spacing w:after="0" w:line="240" w:lineRule="auto"/>
        <w:jc w:val="both"/>
      </w:pPr>
      <w:r>
        <w:t>Esto es que, en la práctica, en el nivel central de la Administración, el Ministerio de Hacienda sólo participa asignando la glosa presupuestaria correspondiente para el financiamiento anual de la Ley</w:t>
      </w:r>
      <w:r w:rsidR="007739BF">
        <w:t xml:space="preserve"> y determinando el número nacional de cupos</w:t>
      </w:r>
      <w:r>
        <w:t>; la SUBDERE sólo emite el decreto en que establece las comunas beneficiarias y el número máximo de cupos</w:t>
      </w:r>
      <w:r w:rsidR="007739BF">
        <w:t>,</w:t>
      </w:r>
      <w:r>
        <w:t xml:space="preserve"> </w:t>
      </w:r>
      <w:r w:rsidR="007739BF">
        <w:t xml:space="preserve">por región, </w:t>
      </w:r>
      <w:r>
        <w:t>que podrán adjudicarse el beneficio</w:t>
      </w:r>
      <w:r w:rsidR="007739BF">
        <w:t xml:space="preserve"> (cada región no podrá acceder a más del 15 % del número nacional de cupos)</w:t>
      </w:r>
      <w:r>
        <w:t>; la Te</w:t>
      </w:r>
      <w:r w:rsidR="00A871E8">
        <w:t>sorería General de la República</w:t>
      </w:r>
      <w:r>
        <w:t xml:space="preserve"> se hace cargo de </w:t>
      </w:r>
      <w:r w:rsidR="00A871E8">
        <w:t>cursar el pago</w:t>
      </w:r>
      <w:r>
        <w:t xml:space="preserve"> </w:t>
      </w:r>
      <w:r w:rsidR="00A871E8">
        <w:t>d</w:t>
      </w:r>
      <w:r>
        <w:t>el beneficio a la Comisión Ingresa, a los administradores financieros de las instituciones de educación superior o directamente a los beneficiarios, según corre</w:t>
      </w:r>
      <w:r w:rsidR="00A871E8">
        <w:t>sponda.</w:t>
      </w:r>
      <w:r>
        <w:t xml:space="preserve"> El Ministerio de Educación</w:t>
      </w:r>
      <w:r w:rsidR="00511476">
        <w:t xml:space="preserve">, </w:t>
      </w:r>
      <w:r w:rsidR="00AF250E">
        <w:t xml:space="preserve">salvo por su membresía en la Comisión Ingresa, </w:t>
      </w:r>
      <w:r w:rsidR="00511476">
        <w:t>tra</w:t>
      </w:r>
      <w:r w:rsidR="00AF250E">
        <w:t>s la puesta en marcha de la Ley</w:t>
      </w:r>
      <w:r w:rsidR="00511476">
        <w:t xml:space="preserve"> no participa en los procesos.</w:t>
      </w:r>
    </w:p>
    <w:p w:rsidR="00682A1A" w:rsidRDefault="00682A1A" w:rsidP="00682A1A">
      <w:pPr>
        <w:spacing w:after="0" w:line="240" w:lineRule="auto"/>
        <w:jc w:val="both"/>
      </w:pPr>
    </w:p>
    <w:p w:rsidR="00B341A2" w:rsidRDefault="00803D0A" w:rsidP="00682A1A">
      <w:pPr>
        <w:spacing w:after="0" w:line="240" w:lineRule="auto"/>
        <w:jc w:val="both"/>
      </w:pPr>
      <w:r>
        <w:t>La introducción de la SUBDERE en los procesos respondió</w:t>
      </w:r>
      <w:r w:rsidR="004C091E">
        <w:t>,</w:t>
      </w:r>
      <w:r>
        <w:t xml:space="preserve"> inicialmente</w:t>
      </w:r>
      <w:r w:rsidR="004C091E">
        <w:t>,</w:t>
      </w:r>
      <w:r>
        <w:t xml:space="preserve"> a que ésta cuenta con los datos necesarios para establecer el “nivel de desarrollo” de las comunas. No obstante, derivó en que la misma Subsecretaría se hizo cargo de diseñar el reglamento de la Ley.</w:t>
      </w:r>
      <w:r w:rsidR="00B341A2">
        <w:t xml:space="preserve"> En v</w:t>
      </w:r>
      <w:r w:rsidR="007739BF">
        <w:t>ista de las dudas y vacíos que é</w:t>
      </w:r>
      <w:r w:rsidR="00B341A2">
        <w:t xml:space="preserve">ste pudiera dejar, la SUBDERE, a través de la División de Municipalidades, emitió también un oficio circular informando a las </w:t>
      </w:r>
      <w:r w:rsidR="007739BF">
        <w:t>i</w:t>
      </w:r>
      <w:r w:rsidR="00B341A2">
        <w:t>ntenden</w:t>
      </w:r>
      <w:r w:rsidR="00511476">
        <w:t>cias d</w:t>
      </w:r>
      <w:r w:rsidR="00B341A2">
        <w:t xml:space="preserve">e la puesta en marcha del beneficio y entregó un instructivo que </w:t>
      </w:r>
      <w:r w:rsidR="00B341A2" w:rsidRPr="00B341A2">
        <w:rPr>
          <w:i/>
        </w:rPr>
        <w:t>sugiere</w:t>
      </w:r>
      <w:r w:rsidR="00B341A2">
        <w:t xml:space="preserve"> un procedimiento de aplicación.</w:t>
      </w:r>
    </w:p>
    <w:p w:rsidR="00682A1A" w:rsidRDefault="00682A1A" w:rsidP="00682A1A">
      <w:pPr>
        <w:spacing w:after="0" w:line="240" w:lineRule="auto"/>
        <w:jc w:val="both"/>
      </w:pPr>
    </w:p>
    <w:p w:rsidR="00B341A2" w:rsidRDefault="007739BF" w:rsidP="00682A1A">
      <w:pPr>
        <w:spacing w:after="0" w:line="240" w:lineRule="auto"/>
        <w:jc w:val="both"/>
      </w:pPr>
      <w:r>
        <w:t>L</w:t>
      </w:r>
      <w:r w:rsidR="00B341A2">
        <w:t xml:space="preserve">a Tesorería también emitió unas instrucciones de procedimiento, pero sólo para efectos de estandarizar al máximo su relación con </w:t>
      </w:r>
      <w:r w:rsidR="001D034A">
        <w:t xml:space="preserve">los diversos actores, pero particularmente con las intendencias, </w:t>
      </w:r>
      <w:r w:rsidR="00B341A2">
        <w:t>de manera de poder cumplir sin problemas sus procesos internos.</w:t>
      </w:r>
    </w:p>
    <w:p w:rsidR="002B4B64" w:rsidRDefault="002B4B64" w:rsidP="00682A1A">
      <w:pPr>
        <w:spacing w:after="0" w:line="240" w:lineRule="auto"/>
        <w:jc w:val="both"/>
      </w:pPr>
    </w:p>
    <w:p w:rsidR="00384A79" w:rsidRDefault="00BE0893" w:rsidP="00682A1A">
      <w:pPr>
        <w:spacing w:after="0" w:line="240" w:lineRule="auto"/>
        <w:jc w:val="both"/>
      </w:pPr>
      <w:r>
        <w:t xml:space="preserve">Asimismo, </w:t>
      </w:r>
      <w:r w:rsidR="007739BF">
        <w:t xml:space="preserve">cabe recalcar que, como se vio antes, </w:t>
      </w:r>
      <w:r>
        <w:t xml:space="preserve">la </w:t>
      </w:r>
      <w:r w:rsidR="00EE0AE9">
        <w:t xml:space="preserve">SUBDERE </w:t>
      </w:r>
      <w:r>
        <w:t xml:space="preserve">es </w:t>
      </w:r>
      <w:r w:rsidR="00EE0AE9">
        <w:t xml:space="preserve">la primera </w:t>
      </w:r>
      <w:r w:rsidR="007739BF">
        <w:t>de las tres instituciones</w:t>
      </w:r>
      <w:r w:rsidR="00EE0AE9">
        <w:t xml:space="preserve"> </w:t>
      </w:r>
      <w:r w:rsidR="007739BF">
        <w:t xml:space="preserve">que según la Ley Nº 20.330 deben </w:t>
      </w:r>
      <w:r>
        <w:t xml:space="preserve">efectuar la evaluación de </w:t>
      </w:r>
      <w:r w:rsidR="007739BF">
        <w:t>su</w:t>
      </w:r>
      <w:r w:rsidR="00B341A2">
        <w:t xml:space="preserve"> aplicación</w:t>
      </w:r>
      <w:r w:rsidR="007739BF">
        <w:t>.</w:t>
      </w:r>
    </w:p>
    <w:p w:rsidR="002B4B64" w:rsidRDefault="002B4B64" w:rsidP="00682A1A">
      <w:pPr>
        <w:spacing w:after="0" w:line="240" w:lineRule="auto"/>
        <w:jc w:val="both"/>
      </w:pPr>
    </w:p>
    <w:p w:rsidR="00A871E8" w:rsidRDefault="00A871E8" w:rsidP="00682A1A">
      <w:pPr>
        <w:spacing w:after="0" w:line="240" w:lineRule="auto"/>
        <w:jc w:val="both"/>
      </w:pPr>
      <w:r>
        <w:t>Aunque de acuerdo a lo indicado en el párrafo anterior, parecería que la SUBDERE es la responsable nacio</w:t>
      </w:r>
      <w:r w:rsidR="00DB6B33">
        <w:t>nal de la operatoria de la Ley</w:t>
      </w:r>
      <w:r>
        <w:t xml:space="preserve">, se verá más adelante que ello no es así. Respecto a los ministerios de Educación y de Hacienda, sencillamente no existen personas que tengan </w:t>
      </w:r>
      <w:r>
        <w:lastRenderedPageBreak/>
        <w:t>responsabilidades directas sobre la Ley Nº 20.330. L</w:t>
      </w:r>
      <w:r w:rsidR="001577C4">
        <w:t>a Tesorería General de la República</w:t>
      </w:r>
      <w:r>
        <w:t>, por su parte,</w:t>
      </w:r>
      <w:r w:rsidR="001577C4">
        <w:t xml:space="preserve"> se limita a cursar los pagos en base a la información que le proveen otros organismos</w:t>
      </w:r>
      <w:r w:rsidR="007739BF">
        <w:t>, esto es que tampoco tiene una responsabilidad específica sobre este instrumento, sino que éste es sólo un</w:t>
      </w:r>
      <w:r w:rsidR="002041DE">
        <w:t xml:space="preserve"> paquete </w:t>
      </w:r>
      <w:r w:rsidR="007739BF">
        <w:t xml:space="preserve">más de </w:t>
      </w:r>
      <w:r w:rsidR="002041DE">
        <w:t>recursos que debe administrar.</w:t>
      </w:r>
    </w:p>
    <w:p w:rsidR="002B4B64" w:rsidRDefault="002B4B64" w:rsidP="002B4B64">
      <w:pPr>
        <w:pStyle w:val="Prrafodelista"/>
        <w:spacing w:after="0" w:line="240" w:lineRule="auto"/>
        <w:jc w:val="both"/>
      </w:pPr>
    </w:p>
    <w:p w:rsidR="005215B7" w:rsidRDefault="005215B7" w:rsidP="00682A1A">
      <w:pPr>
        <w:pStyle w:val="Prrafodelista"/>
        <w:numPr>
          <w:ilvl w:val="2"/>
          <w:numId w:val="5"/>
        </w:numPr>
        <w:spacing w:after="0" w:line="240" w:lineRule="auto"/>
        <w:jc w:val="both"/>
      </w:pPr>
      <w:r>
        <w:t>Personal destinado, nivel nacional</w:t>
      </w:r>
    </w:p>
    <w:p w:rsidR="002B4B64" w:rsidRDefault="002B4B64" w:rsidP="00682A1A">
      <w:pPr>
        <w:spacing w:after="0" w:line="240" w:lineRule="auto"/>
        <w:jc w:val="both"/>
      </w:pPr>
    </w:p>
    <w:p w:rsidR="00776593" w:rsidRDefault="00776593" w:rsidP="00682A1A">
      <w:pPr>
        <w:spacing w:after="0" w:line="240" w:lineRule="auto"/>
        <w:jc w:val="both"/>
      </w:pPr>
      <w:r>
        <w:t>E</w:t>
      </w:r>
      <w:r w:rsidR="00320FCF">
        <w:t xml:space="preserve">xiste </w:t>
      </w:r>
      <w:r>
        <w:t xml:space="preserve">en la SUBDERE </w:t>
      </w:r>
      <w:r w:rsidR="00320FCF">
        <w:t>una persona a cargo de los procesos para la emisión del decreto anual que determina comunas y cupos afectos al beneficio. Esa persona es, en la práctica, la única que desde el nivel central se contacta, coordina y asiste a los encargados regionales. Sin embargo, esa tarea no está establecida en ninguno de los instrumentos legales que rigen la aplicación de la Ley Nº 20.330.</w:t>
      </w:r>
    </w:p>
    <w:p w:rsidR="002B4B64" w:rsidRDefault="002B4B64" w:rsidP="00682A1A">
      <w:pPr>
        <w:spacing w:after="0" w:line="240" w:lineRule="auto"/>
        <w:jc w:val="both"/>
      </w:pPr>
    </w:p>
    <w:p w:rsidR="00776593" w:rsidRDefault="00776593" w:rsidP="00682A1A">
      <w:pPr>
        <w:spacing w:after="0" w:line="240" w:lineRule="auto"/>
        <w:jc w:val="both"/>
      </w:pPr>
      <w:r>
        <w:t>Sin perjuicio de ello</w:t>
      </w:r>
      <w:r w:rsidR="00231788">
        <w:t>,</w:t>
      </w:r>
      <w:r>
        <w:t xml:space="preserve"> dadas sus funciones actuales y mientras no se determinen otras responsabilidades, el funcionario a cargo en SUBDERE da abasto perfectamente.</w:t>
      </w:r>
    </w:p>
    <w:p w:rsidR="002B4B64" w:rsidRDefault="002B4B64" w:rsidP="00682A1A">
      <w:pPr>
        <w:spacing w:after="0" w:line="240" w:lineRule="auto"/>
        <w:jc w:val="both"/>
      </w:pPr>
    </w:p>
    <w:p w:rsidR="004C6414" w:rsidRPr="009B6D95" w:rsidRDefault="004C6414" w:rsidP="009B6D95">
      <w:pPr>
        <w:pStyle w:val="Ttulo2"/>
      </w:pPr>
      <w:bookmarkStart w:id="10" w:name="_Toc341866711"/>
      <w:r w:rsidRPr="009B6D95">
        <w:t>Estructura institucional, nivel regional</w:t>
      </w:r>
      <w:bookmarkEnd w:id="10"/>
    </w:p>
    <w:p w:rsidR="005215B7" w:rsidRPr="007A4675" w:rsidRDefault="005215B7" w:rsidP="00682A1A">
      <w:pPr>
        <w:pStyle w:val="Prrafodelista"/>
        <w:spacing w:after="0" w:line="240" w:lineRule="auto"/>
        <w:ind w:left="360"/>
        <w:jc w:val="both"/>
        <w:rPr>
          <w:b/>
        </w:rPr>
      </w:pPr>
    </w:p>
    <w:p w:rsidR="005215B7" w:rsidRDefault="005215B7" w:rsidP="00682A1A">
      <w:pPr>
        <w:pStyle w:val="Prrafodelista"/>
        <w:numPr>
          <w:ilvl w:val="2"/>
          <w:numId w:val="5"/>
        </w:numPr>
        <w:spacing w:after="0" w:line="240" w:lineRule="auto"/>
        <w:jc w:val="both"/>
      </w:pPr>
      <w:r>
        <w:t>Responsabilidades institucionales, nivel regional</w:t>
      </w:r>
    </w:p>
    <w:p w:rsidR="002B4B64" w:rsidRDefault="002B4B64" w:rsidP="00682A1A">
      <w:pPr>
        <w:spacing w:after="0" w:line="240" w:lineRule="auto"/>
        <w:jc w:val="both"/>
      </w:pPr>
    </w:p>
    <w:p w:rsidR="00FD35DA" w:rsidRDefault="00532FD0" w:rsidP="00682A1A">
      <w:pPr>
        <w:spacing w:after="0" w:line="240" w:lineRule="auto"/>
        <w:jc w:val="both"/>
      </w:pPr>
      <w:r>
        <w:t xml:space="preserve">En el nivel regional, aparecen las </w:t>
      </w:r>
      <w:r w:rsidR="006A0BCA">
        <w:t>i</w:t>
      </w:r>
      <w:r>
        <w:t xml:space="preserve">ntendencias como </w:t>
      </w:r>
      <w:r w:rsidR="00FD35DA">
        <w:t xml:space="preserve">primeras </w:t>
      </w:r>
      <w:r>
        <w:t xml:space="preserve">responsables </w:t>
      </w:r>
      <w:r w:rsidR="00FD35DA">
        <w:t>de la aplicación de la Ley Nº 20.330. É</w:t>
      </w:r>
      <w:r>
        <w:t>stas</w:t>
      </w:r>
      <w:r w:rsidR="00FD35DA">
        <w:t xml:space="preserve"> son</w:t>
      </w:r>
      <w:r>
        <w:t>, en efecto, las que</w:t>
      </w:r>
      <w:r w:rsidR="00FD35DA">
        <w:t xml:space="preserve"> se encargan de recibir las postulaciones y verificar el cumplimiento de los requisitos </w:t>
      </w:r>
      <w:r w:rsidR="006A0BCA">
        <w:t xml:space="preserve">por parte de los postulantes </w:t>
      </w:r>
      <w:r w:rsidR="00FD35DA">
        <w:t xml:space="preserve">–sólo los </w:t>
      </w:r>
      <w:r w:rsidR="00511476">
        <w:t xml:space="preserve">requisitos </w:t>
      </w:r>
      <w:r w:rsidR="00FD35DA">
        <w:t xml:space="preserve">administrativos en la mayor parte de los casos–, emitiendo finalmente certificados individuales que éstos deben presentar, también individualmente, ante los administradores financieros de cada institución de formación superior o ante la Comisión Ingresa, dependiendo de la figura de crédito </w:t>
      </w:r>
      <w:r w:rsidR="001D034A">
        <w:t>(Le</w:t>
      </w:r>
      <w:r w:rsidR="006A0BCA">
        <w:t xml:space="preserve">y Nº 19.287 o Lay Nº 20.027) </w:t>
      </w:r>
      <w:r w:rsidR="00FD35DA">
        <w:t>a la que estén acogidos.</w:t>
      </w:r>
    </w:p>
    <w:p w:rsidR="002B4B64" w:rsidRDefault="002B4B64" w:rsidP="00682A1A">
      <w:pPr>
        <w:spacing w:after="0" w:line="240" w:lineRule="auto"/>
        <w:jc w:val="both"/>
      </w:pPr>
    </w:p>
    <w:p w:rsidR="00FD35DA" w:rsidRDefault="00FD35DA" w:rsidP="00682A1A">
      <w:pPr>
        <w:spacing w:after="0" w:line="240" w:lineRule="auto"/>
        <w:jc w:val="both"/>
      </w:pPr>
      <w:r>
        <w:t>Segú</w:t>
      </w:r>
      <w:r w:rsidR="006A0BCA">
        <w:t>n indican la L</w:t>
      </w:r>
      <w:r w:rsidR="00511476">
        <w:t>ey y su reglamento</w:t>
      </w:r>
      <w:r>
        <w:t>, los administradores financieros y la Comisión deben recopilar las postulaciones del año correspondiente y elaborar una nómina indicando los montos de deuda de los que, a esa altura del proceso</w:t>
      </w:r>
      <w:r w:rsidR="00511476">
        <w:t>, ya se han constituido en beneficiarios.</w:t>
      </w:r>
      <w:r>
        <w:t xml:space="preserve"> </w:t>
      </w:r>
      <w:r w:rsidR="00511476">
        <w:t>Como veremos más adelante, n</w:t>
      </w:r>
      <w:r>
        <w:t xml:space="preserve">ormalmente </w:t>
      </w:r>
      <w:r w:rsidR="00511476">
        <w:t xml:space="preserve">no ha habido </w:t>
      </w:r>
      <w:r>
        <w:t xml:space="preserve">un proceso de priorización </w:t>
      </w:r>
      <w:r w:rsidR="00511476">
        <w:t xml:space="preserve">de los postulantes </w:t>
      </w:r>
      <w:r>
        <w:t xml:space="preserve">(en la mayor parte de las regiones </w:t>
      </w:r>
      <w:r w:rsidR="00511476">
        <w:t xml:space="preserve">aún no </w:t>
      </w:r>
      <w:r>
        <w:t>ha sido necesario</w:t>
      </w:r>
      <w:r w:rsidR="00BC6156">
        <w:t>,</w:t>
      </w:r>
      <w:r>
        <w:t xml:space="preserve"> </w:t>
      </w:r>
      <w:r w:rsidR="00511476">
        <w:t xml:space="preserve">en vista que </w:t>
      </w:r>
      <w:r w:rsidR="00AF250E">
        <w:t>el número de</w:t>
      </w:r>
      <w:r w:rsidR="00511476">
        <w:t xml:space="preserve"> cupos </w:t>
      </w:r>
      <w:r w:rsidR="00AF250E">
        <w:t>ha sido superior al número d</w:t>
      </w:r>
      <w:r w:rsidR="00511476">
        <w:t>e postulantes).</w:t>
      </w:r>
    </w:p>
    <w:p w:rsidR="002B4B64" w:rsidRDefault="002B4B64" w:rsidP="00682A1A">
      <w:pPr>
        <w:spacing w:after="0" w:line="240" w:lineRule="auto"/>
        <w:jc w:val="both"/>
      </w:pPr>
    </w:p>
    <w:p w:rsidR="00532FD0" w:rsidRDefault="00FD35DA" w:rsidP="00682A1A">
      <w:pPr>
        <w:spacing w:after="0" w:line="240" w:lineRule="auto"/>
        <w:jc w:val="both"/>
      </w:pPr>
      <w:r>
        <w:t>La nómina es enviada a la Tesorería General de la República</w:t>
      </w:r>
      <w:r w:rsidR="006A0BCA">
        <w:t xml:space="preserve"> para que ésta pague los beneficios a quien corresponda.</w:t>
      </w:r>
    </w:p>
    <w:p w:rsidR="002B4B64" w:rsidRDefault="002B4B64" w:rsidP="00682A1A">
      <w:pPr>
        <w:spacing w:after="0" w:line="240" w:lineRule="auto"/>
        <w:jc w:val="both"/>
      </w:pPr>
    </w:p>
    <w:p w:rsidR="00497167" w:rsidRDefault="00497167" w:rsidP="00682A1A">
      <w:pPr>
        <w:pStyle w:val="Prrafodelista"/>
        <w:numPr>
          <w:ilvl w:val="2"/>
          <w:numId w:val="5"/>
        </w:numPr>
        <w:spacing w:after="0" w:line="240" w:lineRule="auto"/>
        <w:jc w:val="both"/>
      </w:pPr>
      <w:r>
        <w:t>Personal destinado, nivel regional</w:t>
      </w:r>
    </w:p>
    <w:p w:rsidR="002B4B64" w:rsidRDefault="002B4B64" w:rsidP="00682A1A">
      <w:pPr>
        <w:spacing w:after="0" w:line="240" w:lineRule="auto"/>
        <w:jc w:val="both"/>
      </w:pPr>
    </w:p>
    <w:p w:rsidR="00607B67" w:rsidRDefault="00B341A2" w:rsidP="00682A1A">
      <w:pPr>
        <w:spacing w:after="0" w:line="240" w:lineRule="auto"/>
        <w:jc w:val="both"/>
      </w:pPr>
      <w:r>
        <w:t xml:space="preserve">Para los efectos y siguiendo las instrucciones sugeridas por </w:t>
      </w:r>
      <w:r w:rsidR="006A0BCA">
        <w:t>la SUBDERE y la Tesorería, las i</w:t>
      </w:r>
      <w:r>
        <w:t xml:space="preserve">ntendencias designaron </w:t>
      </w:r>
      <w:r w:rsidR="00320FCF">
        <w:t xml:space="preserve">funcionarios </w:t>
      </w:r>
      <w:r>
        <w:t xml:space="preserve">responsables, habitualmente radicados en el Departamento Social </w:t>
      </w:r>
      <w:r w:rsidR="00FD35DA">
        <w:t xml:space="preserve">y </w:t>
      </w:r>
      <w:r w:rsidR="00F2198F">
        <w:t>en vínculo con</w:t>
      </w:r>
      <w:r>
        <w:t xml:space="preserve"> Asesoría </w:t>
      </w:r>
      <w:r w:rsidR="00607B67">
        <w:t>Jurídica.</w:t>
      </w:r>
    </w:p>
    <w:p w:rsidR="002B4B64" w:rsidRDefault="002B4B64" w:rsidP="00682A1A">
      <w:pPr>
        <w:spacing w:after="0" w:line="240" w:lineRule="auto"/>
        <w:jc w:val="both"/>
      </w:pPr>
    </w:p>
    <w:p w:rsidR="001577C4" w:rsidRDefault="006A0BCA" w:rsidP="00682A1A">
      <w:pPr>
        <w:spacing w:after="0" w:line="240" w:lineRule="auto"/>
        <w:jc w:val="both"/>
      </w:pPr>
      <w:r>
        <w:t>Habitualmente</w:t>
      </w:r>
      <w:r w:rsidR="00607B67">
        <w:t xml:space="preserve">, </w:t>
      </w:r>
      <w:r w:rsidR="00B341A2">
        <w:t>se trata de un único profesional</w:t>
      </w:r>
      <w:r w:rsidR="00511476">
        <w:t xml:space="preserve"> (asistente social o abogado en la mayor parte de los casos)</w:t>
      </w:r>
      <w:r w:rsidR="00B341A2">
        <w:t xml:space="preserve">, quien recibe las postulaciones, verifica el cumplimiento de los requisitos administrativos y </w:t>
      </w:r>
      <w:r w:rsidR="00607B67">
        <w:t>emite los certificados individuales. Eventualmente</w:t>
      </w:r>
      <w:r w:rsidR="005035EB">
        <w:t xml:space="preserve"> y siguiendo las instrucciones </w:t>
      </w:r>
      <w:r w:rsidR="005035EB">
        <w:lastRenderedPageBreak/>
        <w:t xml:space="preserve">sugeridas por </w:t>
      </w:r>
      <w:r w:rsidR="009A2E63">
        <w:t>el reglamento</w:t>
      </w:r>
      <w:r w:rsidR="005035EB">
        <w:t>,</w:t>
      </w:r>
      <w:r w:rsidR="009A2E63">
        <w:t xml:space="preserve"> los encargados </w:t>
      </w:r>
      <w:r w:rsidR="00607B67">
        <w:t>informa</w:t>
      </w:r>
      <w:r w:rsidR="009A2E63">
        <w:t>n</w:t>
      </w:r>
      <w:r w:rsidR="00607B67">
        <w:t xml:space="preserve"> de manera periódica a la SUBDERE acerca de los beneficios entregados en el año. La asesoría jurídica </w:t>
      </w:r>
      <w:r w:rsidR="00511476">
        <w:t>puede cumplir</w:t>
      </w:r>
      <w:r w:rsidR="00607B67">
        <w:t xml:space="preserve"> una labor de apoyo.</w:t>
      </w:r>
    </w:p>
    <w:p w:rsidR="002B4B64" w:rsidRDefault="002B4B64" w:rsidP="00682A1A">
      <w:pPr>
        <w:spacing w:after="0" w:line="240" w:lineRule="auto"/>
        <w:jc w:val="both"/>
      </w:pPr>
    </w:p>
    <w:p w:rsidR="00D039E7" w:rsidRDefault="00C016A5" w:rsidP="009B6D95">
      <w:pPr>
        <w:pStyle w:val="Ttulo2"/>
      </w:pPr>
      <w:bookmarkStart w:id="11" w:name="_Toc341866712"/>
      <w:r w:rsidRPr="009B6D95">
        <w:t>P</w:t>
      </w:r>
      <w:r w:rsidR="00D039E7">
        <w:t>rocesos de postulación y selección</w:t>
      </w:r>
      <w:bookmarkEnd w:id="11"/>
    </w:p>
    <w:p w:rsidR="00D039E7" w:rsidRDefault="00D039E7" w:rsidP="00D039E7">
      <w:pPr>
        <w:pStyle w:val="Ttulo2"/>
        <w:numPr>
          <w:ilvl w:val="0"/>
          <w:numId w:val="0"/>
        </w:numPr>
      </w:pPr>
    </w:p>
    <w:p w:rsidR="005035EB" w:rsidRPr="00534B28" w:rsidRDefault="00D039E7" w:rsidP="00534B28">
      <w:pPr>
        <w:pStyle w:val="Prrafodelista"/>
        <w:numPr>
          <w:ilvl w:val="2"/>
          <w:numId w:val="5"/>
        </w:numPr>
        <w:spacing w:after="0" w:line="240" w:lineRule="auto"/>
        <w:jc w:val="both"/>
      </w:pPr>
      <w:r w:rsidRPr="00534B28">
        <w:t>R</w:t>
      </w:r>
      <w:r w:rsidR="005035EB" w:rsidRPr="00534B28">
        <w:t>esponsabilidades ¿Quién resuelve?</w:t>
      </w:r>
    </w:p>
    <w:p w:rsidR="002B4B64" w:rsidRDefault="002B4B64" w:rsidP="00682A1A">
      <w:pPr>
        <w:spacing w:after="0" w:line="240" w:lineRule="auto"/>
        <w:jc w:val="both"/>
      </w:pPr>
    </w:p>
    <w:p w:rsidR="000D75DE" w:rsidRDefault="00320FCF" w:rsidP="00682A1A">
      <w:pPr>
        <w:spacing w:after="0" w:line="240" w:lineRule="auto"/>
        <w:jc w:val="both"/>
      </w:pPr>
      <w:r>
        <w:t xml:space="preserve">Según se ve en las entrevistas, hay vacíos </w:t>
      </w:r>
      <w:r w:rsidR="001D034A">
        <w:t xml:space="preserve">o poca claridad </w:t>
      </w:r>
      <w:r>
        <w:t>en la Ley y su reglamento</w:t>
      </w:r>
      <w:r w:rsidR="001D034A">
        <w:t>,</w:t>
      </w:r>
      <w:r>
        <w:t xml:space="preserve"> que generan más de una interpretación para operar el programa de beneficios. Por ejemplo, más de un encargado regional entiende que no es su responsabilidad seleccionar cuáles serán los postulantes de la región que finalmente se harán acreedores del beneficio, asumiendo que para todo aquel que postule</w:t>
      </w:r>
      <w:r w:rsidR="006A0BCA">
        <w:t xml:space="preserve"> y cumpla los requisitos,</w:t>
      </w:r>
      <w:r>
        <w:t xml:space="preserve"> se emitirá el certificado que acredite </w:t>
      </w:r>
      <w:r w:rsidR="006A0BCA">
        <w:t xml:space="preserve">dicho </w:t>
      </w:r>
      <w:r>
        <w:t xml:space="preserve">cumplimiento. En un caso, el </w:t>
      </w:r>
      <w:r w:rsidR="006A0BCA">
        <w:t>encargado entrevistado</w:t>
      </w:r>
      <w:r>
        <w:t xml:space="preserve"> asume que es la universidad (y su administrador financiero) la que priorizará en caso de </w:t>
      </w:r>
      <w:r w:rsidR="006A0BCA">
        <w:t xml:space="preserve">haber más postulantes que cupos, </w:t>
      </w:r>
      <w:r w:rsidR="001D034A">
        <w:t>no obstante el inciso tercero del artículo 18 del reglamento (Decreto Nº 403) de la Ley, establece que la Intendencia, para la entrega de dicho certificado, deberá verificar “que existe la disponibilidad de cupos, de acuerdo al número máximo de beneficiarios de la respectiva región determinado en el decreto supremo señalado en el artículo 4º” (instrumento que determina anualmente el número máximo de cupos por región).</w:t>
      </w:r>
    </w:p>
    <w:p w:rsidR="002B4B64" w:rsidRDefault="002B4B64" w:rsidP="00682A1A">
      <w:pPr>
        <w:spacing w:after="0" w:line="240" w:lineRule="auto"/>
        <w:jc w:val="both"/>
      </w:pPr>
    </w:p>
    <w:p w:rsidR="00320FCF" w:rsidRDefault="000372B5" w:rsidP="00682A1A">
      <w:pPr>
        <w:spacing w:after="0" w:line="240" w:lineRule="auto"/>
        <w:jc w:val="both"/>
      </w:pPr>
      <w:r>
        <w:t>Con todo</w:t>
      </w:r>
      <w:r w:rsidR="006A0BCA">
        <w:t>, la L</w:t>
      </w:r>
      <w:r w:rsidR="00320FCF">
        <w:t xml:space="preserve">ey ni el reglamento definen, al menos no de manera clara, las responsabilidades ni el método por el cual se seleccionará a los beneficiarios finales. </w:t>
      </w:r>
      <w:r w:rsidR="00511476">
        <w:t>Sin embargo, aunque hasta ahora</w:t>
      </w:r>
      <w:r w:rsidR="00320FCF">
        <w:t xml:space="preserve"> </w:t>
      </w:r>
      <w:r w:rsidR="00511476">
        <w:t>casi nunca</w:t>
      </w:r>
      <w:r w:rsidR="00320FCF">
        <w:t xml:space="preserve"> ha habido más postulantes que cupos</w:t>
      </w:r>
      <w:r w:rsidR="00511476">
        <w:t>, las regiones cuentan en su mayoría con metodologías de priorización</w:t>
      </w:r>
      <w:r w:rsidR="009A2E63">
        <w:rPr>
          <w:rStyle w:val="Refdenotaalpie"/>
        </w:rPr>
        <w:footnoteReference w:id="10"/>
      </w:r>
      <w:r w:rsidR="00511476">
        <w:t xml:space="preserve"> –más o menos sofisticadas–</w:t>
      </w:r>
      <w:r w:rsidR="00320FCF">
        <w:t xml:space="preserve">. </w:t>
      </w:r>
      <w:r w:rsidR="00B76252">
        <w:t xml:space="preserve">Pero estas metodologías </w:t>
      </w:r>
      <w:r w:rsidR="00511476">
        <w:t xml:space="preserve">no siempre se </w:t>
      </w:r>
      <w:r w:rsidR="006A0BCA">
        <w:t>ajustan al marco reglamentario</w:t>
      </w:r>
      <w:r w:rsidR="00B76252">
        <w:t>: aunque</w:t>
      </w:r>
      <w:r w:rsidR="00320FCF">
        <w:t xml:space="preserve"> la Ley indica</w:t>
      </w:r>
      <w:r w:rsidR="00B21DE3">
        <w:t xml:space="preserve"> que podrán optar al beneficio los deudores “que </w:t>
      </w:r>
      <w:r w:rsidR="00B21DE3">
        <w:rPr>
          <w:b/>
        </w:rPr>
        <w:t>a contar de la fecha de vig</w:t>
      </w:r>
      <w:r w:rsidR="00B21DE3" w:rsidRPr="00B21DE3">
        <w:rPr>
          <w:b/>
        </w:rPr>
        <w:t>encia de la presente ley se incorporen</w:t>
      </w:r>
      <w:r w:rsidR="00B21DE3">
        <w:t xml:space="preserve"> a prestar servicios remunerados”</w:t>
      </w:r>
      <w:r w:rsidR="00077E29">
        <w:rPr>
          <w:rStyle w:val="Refdenotaalpie"/>
        </w:rPr>
        <w:footnoteReference w:id="11"/>
      </w:r>
      <w:r w:rsidR="00B21DE3">
        <w:t xml:space="preserve"> en las instituciones ya mencionadas de las comunas con menor desarrollo</w:t>
      </w:r>
      <w:r w:rsidR="00B76252">
        <w:t xml:space="preserve">, en </w:t>
      </w:r>
      <w:r w:rsidR="00077E29">
        <w:t>más de una región</w:t>
      </w:r>
      <w:r w:rsidR="00B76252">
        <w:t xml:space="preserve"> el beneficio s</w:t>
      </w:r>
      <w:r w:rsidR="00B21DE3">
        <w:t>e ha entregado a profesionales bastante más antiguos. Y es que el reglamento de la ley confunde la interpretación, ya que éste, a diferencia de aquélla, indica en su artículo 1º que podrán acceder al beneficio los deudores de crédito para estudios superiores (por leyes Nº 19.087 y Nº 20.027) que “</w:t>
      </w:r>
      <w:r w:rsidR="00B21DE3" w:rsidRPr="00077E29">
        <w:rPr>
          <w:b/>
        </w:rPr>
        <w:t>a contar del 1º de enero de 2009,</w:t>
      </w:r>
      <w:r w:rsidR="00B21DE3">
        <w:t xml:space="preserve"> </w:t>
      </w:r>
      <w:r w:rsidR="00B21DE3" w:rsidRPr="00B21DE3">
        <w:rPr>
          <w:b/>
        </w:rPr>
        <w:t xml:space="preserve">presten </w:t>
      </w:r>
      <w:r w:rsidR="00B21DE3" w:rsidRPr="00077E29">
        <w:t>o se hayan incorporado a prestar servicios</w:t>
      </w:r>
      <w:r w:rsidR="00B21DE3">
        <w:t xml:space="preserve"> remunerados”</w:t>
      </w:r>
      <w:r w:rsidR="006A0BCA">
        <w:rPr>
          <w:rStyle w:val="Refdenotaalpie"/>
        </w:rPr>
        <w:footnoteReference w:id="12"/>
      </w:r>
      <w:r w:rsidR="00B21DE3">
        <w:t xml:space="preserve"> en las mismas instituciones.</w:t>
      </w:r>
    </w:p>
    <w:p w:rsidR="002B4B64" w:rsidRDefault="002B4B64" w:rsidP="00682A1A">
      <w:pPr>
        <w:spacing w:after="0" w:line="240" w:lineRule="auto"/>
        <w:jc w:val="both"/>
      </w:pPr>
    </w:p>
    <w:p w:rsidR="00E84237" w:rsidRDefault="00D039E7" w:rsidP="00682A1A">
      <w:pPr>
        <w:spacing w:after="0" w:line="240" w:lineRule="auto"/>
        <w:jc w:val="both"/>
      </w:pPr>
      <w:r>
        <w:t>Estrictamente</w:t>
      </w:r>
      <w:r w:rsidR="00B21DE3">
        <w:t>, a la hora de las interpretaciones, la ley prima sobre el reglament</w:t>
      </w:r>
      <w:r w:rsidR="00B76252">
        <w:t>o</w:t>
      </w:r>
      <w:r w:rsidR="00B21DE3">
        <w:t xml:space="preserve">, pero esto no ha sido </w:t>
      </w:r>
      <w:r>
        <w:t>entendido</w:t>
      </w:r>
      <w:r w:rsidR="00E84237">
        <w:t xml:space="preserve"> así en varios de los casos.</w:t>
      </w:r>
      <w:r w:rsidR="00985DCC">
        <w:t xml:space="preserve"> Luego, la interpretación tampoco es uniforme a nivel nacional.</w:t>
      </w:r>
    </w:p>
    <w:p w:rsidR="002B4B64" w:rsidRDefault="002B4B64" w:rsidP="00682A1A">
      <w:pPr>
        <w:spacing w:after="0" w:line="240" w:lineRule="auto"/>
        <w:jc w:val="both"/>
      </w:pPr>
    </w:p>
    <w:p w:rsidR="002B4B64" w:rsidRDefault="00E84237" w:rsidP="00682A1A">
      <w:pPr>
        <w:spacing w:after="0" w:line="240" w:lineRule="auto"/>
        <w:jc w:val="both"/>
      </w:pPr>
      <w:r>
        <w:t xml:space="preserve">Es bastante claro que, si no hay un “responsable del programa” en el nivel nacional, cuestión que hacen ver tanto los encargados regionales (en Intendencias) como los beneficiarios, no hay quien se haga formalmente cargo de corregir los errores de interpretación de la ley o los errores </w:t>
      </w:r>
      <w:r w:rsidR="00B76252">
        <w:t>y</w:t>
      </w:r>
      <w:r>
        <w:t xml:space="preserve"> vacíos en los procesos.</w:t>
      </w:r>
      <w:r w:rsidR="006A0BCA">
        <w:t xml:space="preserve"> </w:t>
      </w:r>
      <w:r>
        <w:t>S</w:t>
      </w:r>
      <w:r w:rsidR="000D161B">
        <w:t xml:space="preserve">i bien </w:t>
      </w:r>
      <w:r>
        <w:t>para casos como el antes mencionado, l</w:t>
      </w:r>
      <w:r w:rsidR="000D161B">
        <w:t xml:space="preserve">a interpretación </w:t>
      </w:r>
      <w:r w:rsidR="006A0BCA">
        <w:t>correcta de la L</w:t>
      </w:r>
      <w:r>
        <w:t>ey y su reglamento</w:t>
      </w:r>
      <w:r w:rsidR="000D161B">
        <w:t xml:space="preserve"> puede parecer</w:t>
      </w:r>
      <w:r>
        <w:t xml:space="preserve"> </w:t>
      </w:r>
      <w:r w:rsidR="000D161B">
        <w:t xml:space="preserve">obvia, </w:t>
      </w:r>
      <w:r>
        <w:t xml:space="preserve">lo cierto es que si esos instrumentos generan dudas y no se han establecido otros mecanismos para resolverlas, </w:t>
      </w:r>
      <w:r w:rsidR="000D161B">
        <w:t xml:space="preserve">la única institución que está facultada para </w:t>
      </w:r>
      <w:r>
        <w:t xml:space="preserve">interpretar </w:t>
      </w:r>
      <w:r w:rsidR="000D161B">
        <w:t xml:space="preserve">no es la SUBDERE ni son las intendencias, sino exclusivamente la Contraloría General </w:t>
      </w:r>
      <w:r w:rsidR="000D161B">
        <w:lastRenderedPageBreak/>
        <w:t>de la República. En algún caso, la región ha pedido pronunciamientos a ésta ante otras dudas, pero no se conoce</w:t>
      </w:r>
      <w:r w:rsidR="006A0BCA">
        <w:t>n</w:t>
      </w:r>
      <w:r w:rsidR="000D161B">
        <w:t xml:space="preserve"> respuestas</w:t>
      </w:r>
      <w:r w:rsidR="006A0BCA">
        <w:t>.</w:t>
      </w:r>
    </w:p>
    <w:p w:rsidR="009A2E63" w:rsidRDefault="009A2E63" w:rsidP="00682A1A">
      <w:pPr>
        <w:spacing w:after="0" w:line="240" w:lineRule="auto"/>
        <w:jc w:val="both"/>
      </w:pPr>
    </w:p>
    <w:p w:rsidR="00B6395F" w:rsidRDefault="00B6395F" w:rsidP="00682A1A">
      <w:pPr>
        <w:spacing w:after="0" w:line="240" w:lineRule="auto"/>
        <w:jc w:val="both"/>
      </w:pPr>
      <w:r>
        <w:t>Sin perjuicio de todo lo indicado, en la práctica son los encargados regionales los únicos actores que han asumido de manera evidente la responsabilidad en la operación de la Ley Nº 20.330. Reciben a los postulantes, les exigen el cumplimiento y la certificación de los requisitos, emiten los certificados que acreditan ese cumplimiento. Además, según aparece en buena parte de las encuestas aplicadas a los beneficiarios, hacen lo posible por resolver las dudas de éstos e intermedian entre ellos y las otras instituciones involucradas.</w:t>
      </w:r>
    </w:p>
    <w:p w:rsidR="002B4B64" w:rsidRDefault="002B4B64" w:rsidP="00682A1A">
      <w:pPr>
        <w:spacing w:after="0" w:line="240" w:lineRule="auto"/>
        <w:jc w:val="both"/>
      </w:pPr>
    </w:p>
    <w:p w:rsidR="00B6395F" w:rsidRDefault="00003006" w:rsidP="00682A1A">
      <w:pPr>
        <w:spacing w:after="0" w:line="240" w:lineRule="auto"/>
        <w:jc w:val="both"/>
      </w:pPr>
      <w:r>
        <w:t>Donde aparece</w:t>
      </w:r>
      <w:r w:rsidR="00B6395F">
        <w:t xml:space="preserve"> la mayor cantidad de problemas procedimentales, aunque </w:t>
      </w:r>
      <w:r w:rsidR="00E84237">
        <w:t xml:space="preserve">ya en el </w:t>
      </w:r>
      <w:r>
        <w:t>segundo año de operación de la L</w:t>
      </w:r>
      <w:r w:rsidR="00E84237">
        <w:t>ey</w:t>
      </w:r>
      <w:r w:rsidR="00B6395F">
        <w:t xml:space="preserve"> se </w:t>
      </w:r>
      <w:r w:rsidR="00E84237">
        <w:t>han ido</w:t>
      </w:r>
      <w:r w:rsidR="00B6395F">
        <w:t xml:space="preserve"> resolviendo, es en los administradores financieros de los créditos de cada universidad, mismos que, según se aprecia en las encuestas y entrevistas aplicadas para esta evaluación, no sólo han estado bastante desinformados, sino que tienen procedimientos propios con plazos también propios que entran en conflicto con los plazos establecidos para las distintas etapas de las postulaciones. En particular, los beneficiarios encuestados reclaman que el cálculo de la cuota anual a pagar</w:t>
      </w:r>
      <w:r>
        <w:t>,</w:t>
      </w:r>
      <w:r w:rsidR="00B6395F">
        <w:t xml:space="preserve"> pactada anualmente de acuerdo a la </w:t>
      </w:r>
      <w:r>
        <w:t>L</w:t>
      </w:r>
      <w:r w:rsidR="00B6395F">
        <w:t>ey que corresponda (19.</w:t>
      </w:r>
      <w:r w:rsidR="00E84237">
        <w:t>0</w:t>
      </w:r>
      <w:r w:rsidR="00B6395F">
        <w:t>87 ó 20.027) es relativamente tardío, por lo que resulta igualmente tardía la obtención del certificado de deuda de parte de estos mismos administradores, requisito necesario para que la Tesorería pague efectivamente el beneficio.</w:t>
      </w:r>
      <w:r w:rsidR="00985DCC">
        <w:t xml:space="preserve"> Cualquiera sea el caso, sea por desinformación, desinterés o simples trabas burocráticas de aquéllos, para el cumplimiento de los plazos los postulantes </w:t>
      </w:r>
      <w:r w:rsidR="009C4CBF">
        <w:t>dependen de</w:t>
      </w:r>
      <w:r w:rsidR="00985DCC">
        <w:t xml:space="preserve"> los administradores financieros, sobre los cuales no hay institución que pueda ejercer presión.</w:t>
      </w:r>
    </w:p>
    <w:p w:rsidR="002B4B64" w:rsidRDefault="002B4B64" w:rsidP="00682A1A">
      <w:pPr>
        <w:spacing w:after="0" w:line="240" w:lineRule="auto"/>
        <w:jc w:val="both"/>
      </w:pPr>
    </w:p>
    <w:p w:rsidR="009A2E63" w:rsidRPr="00D039E7" w:rsidRDefault="009C4CBF" w:rsidP="00D039E7">
      <w:pPr>
        <w:pStyle w:val="Prrafodelista"/>
        <w:numPr>
          <w:ilvl w:val="2"/>
          <w:numId w:val="5"/>
        </w:numPr>
        <w:spacing w:after="0" w:line="240" w:lineRule="auto"/>
        <w:jc w:val="both"/>
      </w:pPr>
      <w:r>
        <w:t>Opiniones</w:t>
      </w:r>
      <w:r w:rsidR="00D039E7" w:rsidRPr="00D039E7">
        <w:t xml:space="preserve"> de los beneficiarios</w:t>
      </w:r>
      <w:r w:rsidR="00D039E7">
        <w:t xml:space="preserve"> sobre </w:t>
      </w:r>
      <w:r w:rsidR="00876A54">
        <w:t>fortalezas y debilidades d</w:t>
      </w:r>
      <w:r w:rsidR="00D039E7">
        <w:t>el proceso de postulación</w:t>
      </w:r>
    </w:p>
    <w:p w:rsidR="009A2E63" w:rsidRDefault="009A2E63" w:rsidP="00682A1A">
      <w:pPr>
        <w:spacing w:after="0" w:line="240" w:lineRule="auto"/>
        <w:jc w:val="both"/>
      </w:pPr>
    </w:p>
    <w:p w:rsidR="007D525F" w:rsidRPr="00F5331E" w:rsidRDefault="009D58FC" w:rsidP="00682A1A">
      <w:pPr>
        <w:spacing w:after="0" w:line="240" w:lineRule="auto"/>
        <w:jc w:val="both"/>
      </w:pPr>
      <w:r>
        <w:t>Al pedir la opinión sobre el proceso de postulación</w:t>
      </w:r>
      <w:r w:rsidR="00217DFA">
        <w:t xml:space="preserve"> (Gráfico Nº 2)</w:t>
      </w:r>
      <w:r>
        <w:t>, la mayor parte de los encuestados (</w:t>
      </w:r>
      <w:r w:rsidR="009C4CBF">
        <w:t xml:space="preserve">71 casos, </w:t>
      </w:r>
      <w:r w:rsidR="009C4CBF" w:rsidRPr="0056627B">
        <w:t>equivalentes al 7</w:t>
      </w:r>
      <w:r w:rsidR="00371017" w:rsidRPr="0056627B">
        <w:t>8.8</w:t>
      </w:r>
      <w:r w:rsidRPr="0056627B">
        <w:t xml:space="preserve"> %) </w:t>
      </w:r>
      <w:r>
        <w:t>lo consideró sencillo</w:t>
      </w:r>
      <w:r w:rsidR="00217DFA">
        <w:t>, bueno o expedito</w:t>
      </w:r>
      <w:r>
        <w:t xml:space="preserve">. También </w:t>
      </w:r>
      <w:r w:rsidRPr="00F5331E">
        <w:t xml:space="preserve">manifestaron que los pasos de la postulación son claros. </w:t>
      </w:r>
      <w:r w:rsidR="00F5331E" w:rsidRPr="00F5331E">
        <w:t xml:space="preserve">Sólo el </w:t>
      </w:r>
      <w:r w:rsidR="00371017" w:rsidRPr="00F5331E">
        <w:t xml:space="preserve">21.1 % (19 casos) </w:t>
      </w:r>
      <w:r w:rsidR="00F5331E" w:rsidRPr="00F5331E">
        <w:t xml:space="preserve">lo </w:t>
      </w:r>
      <w:r w:rsidRPr="00F5331E">
        <w:t xml:space="preserve">consideró burocrático, manifestando </w:t>
      </w:r>
      <w:r w:rsidR="00F5331E" w:rsidRPr="00F5331E">
        <w:t xml:space="preserve">además </w:t>
      </w:r>
      <w:r w:rsidR="00003006" w:rsidRPr="00F5331E">
        <w:t xml:space="preserve">que hay </w:t>
      </w:r>
      <w:r w:rsidRPr="00F5331E">
        <w:t>problemas en la compatibilización de los tiempos de las distintas instituciones</w:t>
      </w:r>
      <w:r w:rsidR="00217DFA" w:rsidRPr="00F5331E">
        <w:t xml:space="preserve">, </w:t>
      </w:r>
      <w:r w:rsidR="00F5331E" w:rsidRPr="00F5331E">
        <w:t xml:space="preserve">que la información sobre el proceso es insuficiente, </w:t>
      </w:r>
      <w:r w:rsidR="00217DFA" w:rsidRPr="00F5331E">
        <w:t>entre otros</w:t>
      </w:r>
      <w:r w:rsidR="00F5331E" w:rsidRPr="00F5331E">
        <w:t xml:space="preserve"> puntos</w:t>
      </w:r>
      <w:r w:rsidRPr="00F5331E">
        <w:t>.</w:t>
      </w:r>
    </w:p>
    <w:p w:rsidR="00570730" w:rsidRDefault="00570730" w:rsidP="00682A1A">
      <w:pPr>
        <w:spacing w:after="0" w:line="240" w:lineRule="auto"/>
        <w:ind w:left="284"/>
        <w:jc w:val="center"/>
        <w:rPr>
          <w:rFonts w:ascii="Calibri" w:eastAsia="Calibri" w:hAnsi="Calibri" w:cs="Times New Roman"/>
          <w:b/>
          <w:lang w:val="es-ES"/>
        </w:rPr>
      </w:pPr>
    </w:p>
    <w:p w:rsidR="000372B5" w:rsidRDefault="000372B5">
      <w:pPr>
        <w:rPr>
          <w:rFonts w:ascii="Calibri" w:eastAsia="Calibri" w:hAnsi="Calibri" w:cs="Times New Roman"/>
          <w:b/>
          <w:lang w:val="es-ES"/>
        </w:rPr>
      </w:pPr>
      <w:r>
        <w:rPr>
          <w:rFonts w:ascii="Calibri" w:eastAsia="Calibri" w:hAnsi="Calibri" w:cs="Times New Roman"/>
          <w:b/>
          <w:lang w:val="es-ES"/>
        </w:rPr>
        <w:br w:type="page"/>
      </w:r>
    </w:p>
    <w:p w:rsidR="00BA1AB3" w:rsidRPr="00217DFA" w:rsidRDefault="00217DFA" w:rsidP="00682A1A">
      <w:pPr>
        <w:spacing w:after="0" w:line="240" w:lineRule="auto"/>
        <w:ind w:left="284"/>
        <w:jc w:val="center"/>
        <w:rPr>
          <w:rFonts w:ascii="Calibri" w:eastAsia="Calibri" w:hAnsi="Calibri" w:cs="Times New Roman"/>
          <w:b/>
          <w:lang w:val="es-ES"/>
        </w:rPr>
      </w:pPr>
      <w:r w:rsidRPr="00217DFA">
        <w:rPr>
          <w:rFonts w:ascii="Calibri" w:eastAsia="Calibri" w:hAnsi="Calibri" w:cs="Times New Roman"/>
          <w:b/>
          <w:lang w:val="es-ES"/>
        </w:rPr>
        <w:lastRenderedPageBreak/>
        <w:t>GRÁFICO Nº 2:</w:t>
      </w:r>
    </w:p>
    <w:p w:rsidR="00217DFA" w:rsidRDefault="00217DFA" w:rsidP="00682A1A">
      <w:pPr>
        <w:spacing w:after="0" w:line="240" w:lineRule="auto"/>
        <w:ind w:left="284"/>
        <w:jc w:val="center"/>
        <w:rPr>
          <w:rFonts w:ascii="Calibri" w:eastAsia="Calibri" w:hAnsi="Calibri" w:cs="Times New Roman"/>
          <w:b/>
          <w:lang w:val="es-ES"/>
        </w:rPr>
      </w:pPr>
      <w:r w:rsidRPr="00217DFA">
        <w:rPr>
          <w:rFonts w:ascii="Calibri" w:eastAsia="Calibri" w:hAnsi="Calibri" w:cs="Times New Roman"/>
          <w:b/>
          <w:lang w:val="es-ES"/>
        </w:rPr>
        <w:t>OPINIÓN SOBRE EL PROCESO DE POSTULACIÓN</w:t>
      </w:r>
    </w:p>
    <w:p w:rsidR="00F84BD6" w:rsidRDefault="00F84BD6" w:rsidP="00682A1A">
      <w:pPr>
        <w:spacing w:after="0" w:line="240" w:lineRule="auto"/>
        <w:ind w:left="284"/>
        <w:jc w:val="center"/>
        <w:rPr>
          <w:rFonts w:ascii="Calibri" w:eastAsia="Calibri" w:hAnsi="Calibri" w:cs="Times New Roman"/>
          <w:b/>
          <w:lang w:val="es-ES"/>
        </w:rPr>
      </w:pPr>
      <w:r>
        <w:rPr>
          <w:noProof/>
          <w:lang w:eastAsia="es-CL"/>
        </w:rPr>
        <w:drawing>
          <wp:inline distT="0" distB="0" distL="0" distR="0" wp14:anchorId="63EE1591" wp14:editId="7F657721">
            <wp:extent cx="4572000" cy="2613804"/>
            <wp:effectExtent l="0" t="0" r="19050" b="15240"/>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F636B5" w:rsidRPr="00BD6C11" w:rsidRDefault="00F636B5" w:rsidP="00F636B5">
      <w:pPr>
        <w:spacing w:after="0" w:line="240" w:lineRule="auto"/>
        <w:jc w:val="center"/>
        <w:rPr>
          <w:rFonts w:ascii="Calibri" w:eastAsia="Calibri" w:hAnsi="Calibri" w:cs="Times New Roman"/>
          <w:sz w:val="18"/>
          <w:szCs w:val="18"/>
          <w:lang w:val="es-ES"/>
        </w:rPr>
      </w:pPr>
      <w:r w:rsidRPr="00BD6C11">
        <w:rPr>
          <w:rFonts w:ascii="Calibri" w:eastAsia="Calibri" w:hAnsi="Calibri" w:cs="Times New Roman"/>
          <w:sz w:val="18"/>
          <w:szCs w:val="18"/>
          <w:lang w:val="es-ES"/>
        </w:rPr>
        <w:t>Fuente: Elaboración propia en base a encuesta</w:t>
      </w:r>
      <w:r>
        <w:rPr>
          <w:rFonts w:ascii="Calibri" w:eastAsia="Calibri" w:hAnsi="Calibri" w:cs="Times New Roman"/>
          <w:sz w:val="18"/>
          <w:szCs w:val="18"/>
          <w:lang w:val="es-ES"/>
        </w:rPr>
        <w:t>.</w:t>
      </w:r>
    </w:p>
    <w:p w:rsidR="00217DFA" w:rsidRDefault="00217DFA" w:rsidP="00682A1A">
      <w:pPr>
        <w:spacing w:after="0" w:line="240" w:lineRule="auto"/>
        <w:jc w:val="both"/>
        <w:rPr>
          <w:rFonts w:ascii="Calibri" w:eastAsia="Calibri" w:hAnsi="Calibri" w:cs="Times New Roman"/>
          <w:lang w:val="es-ES"/>
        </w:rPr>
      </w:pPr>
    </w:p>
    <w:p w:rsidR="00BA1AB3" w:rsidRDefault="00217DFA" w:rsidP="00682A1A">
      <w:pPr>
        <w:spacing w:after="0" w:line="240" w:lineRule="auto"/>
        <w:jc w:val="both"/>
        <w:rPr>
          <w:rFonts w:ascii="Calibri" w:eastAsia="Calibri" w:hAnsi="Calibri" w:cs="Times New Roman"/>
          <w:lang w:val="es-ES"/>
        </w:rPr>
      </w:pPr>
      <w:r>
        <w:rPr>
          <w:rFonts w:ascii="Calibri" w:eastAsia="Calibri" w:hAnsi="Calibri" w:cs="Times New Roman"/>
          <w:lang w:val="es-ES"/>
        </w:rPr>
        <w:t>Al entrar en los detalles del proceso de postulación</w:t>
      </w:r>
      <w:r w:rsidR="001602B6">
        <w:rPr>
          <w:rFonts w:ascii="Calibri" w:eastAsia="Calibri" w:hAnsi="Calibri" w:cs="Times New Roman"/>
          <w:lang w:val="es-ES"/>
        </w:rPr>
        <w:t xml:space="preserve"> (Gráfico Nº 3)</w:t>
      </w:r>
      <w:r w:rsidR="00003006">
        <w:rPr>
          <w:rFonts w:ascii="Calibri" w:eastAsia="Calibri" w:hAnsi="Calibri" w:cs="Times New Roman"/>
          <w:lang w:val="es-ES"/>
        </w:rPr>
        <w:t xml:space="preserve">, </w:t>
      </w:r>
      <w:r>
        <w:rPr>
          <w:rFonts w:ascii="Calibri" w:eastAsia="Calibri" w:hAnsi="Calibri" w:cs="Times New Roman"/>
          <w:lang w:val="es-ES"/>
        </w:rPr>
        <w:t xml:space="preserve">aunque </w:t>
      </w:r>
      <w:r w:rsidR="00003006">
        <w:rPr>
          <w:rFonts w:ascii="Calibri" w:eastAsia="Calibri" w:hAnsi="Calibri" w:cs="Times New Roman"/>
          <w:lang w:val="es-ES"/>
        </w:rPr>
        <w:t xml:space="preserve">el campo fue completado </w:t>
      </w:r>
      <w:r>
        <w:rPr>
          <w:rFonts w:ascii="Calibri" w:eastAsia="Calibri" w:hAnsi="Calibri" w:cs="Times New Roman"/>
          <w:lang w:val="es-ES"/>
        </w:rPr>
        <w:t xml:space="preserve">sólo </w:t>
      </w:r>
      <w:r w:rsidR="00003006">
        <w:rPr>
          <w:rFonts w:ascii="Calibri" w:eastAsia="Calibri" w:hAnsi="Calibri" w:cs="Times New Roman"/>
          <w:lang w:val="es-ES"/>
        </w:rPr>
        <w:t>en el 60% de las 90 encuestas recibidas</w:t>
      </w:r>
      <w:r>
        <w:rPr>
          <w:rFonts w:ascii="Calibri" w:eastAsia="Calibri" w:hAnsi="Calibri" w:cs="Times New Roman"/>
          <w:lang w:val="es-ES"/>
        </w:rPr>
        <w:t xml:space="preserve">, </w:t>
      </w:r>
      <w:r w:rsidR="008845EA">
        <w:rPr>
          <w:rFonts w:ascii="Calibri" w:eastAsia="Calibri" w:hAnsi="Calibri" w:cs="Times New Roman"/>
          <w:lang w:val="es-ES"/>
        </w:rPr>
        <w:t xml:space="preserve">las respuestas positivas son mayoritarias: </w:t>
      </w:r>
      <w:r>
        <w:rPr>
          <w:rFonts w:ascii="Calibri" w:eastAsia="Calibri" w:hAnsi="Calibri" w:cs="Times New Roman"/>
          <w:lang w:val="es-ES"/>
        </w:rPr>
        <w:t>hay claridad sobre los antecedentes solicitados y los documentos son fáciles de conseguir en la Intendencia, la universidad y el municipio</w:t>
      </w:r>
      <w:r w:rsidR="008845EA">
        <w:rPr>
          <w:rFonts w:ascii="Calibri" w:eastAsia="Calibri" w:hAnsi="Calibri" w:cs="Times New Roman"/>
          <w:lang w:val="es-ES"/>
        </w:rPr>
        <w:t xml:space="preserve">; los </w:t>
      </w:r>
      <w:r>
        <w:rPr>
          <w:rFonts w:ascii="Calibri" w:eastAsia="Calibri" w:hAnsi="Calibri" w:cs="Times New Roman"/>
          <w:lang w:val="es-ES"/>
        </w:rPr>
        <w:t>encargado</w:t>
      </w:r>
      <w:r w:rsidR="00BA1AB3">
        <w:rPr>
          <w:rFonts w:ascii="Calibri" w:eastAsia="Calibri" w:hAnsi="Calibri" w:cs="Times New Roman"/>
          <w:lang w:val="es-ES"/>
        </w:rPr>
        <w:t>s regionales</w:t>
      </w:r>
      <w:r>
        <w:rPr>
          <w:rFonts w:ascii="Calibri" w:eastAsia="Calibri" w:hAnsi="Calibri" w:cs="Times New Roman"/>
          <w:lang w:val="es-ES"/>
        </w:rPr>
        <w:t xml:space="preserve"> </w:t>
      </w:r>
      <w:r w:rsidR="008845EA">
        <w:rPr>
          <w:rFonts w:ascii="Calibri" w:eastAsia="Calibri" w:hAnsi="Calibri" w:cs="Times New Roman"/>
          <w:lang w:val="es-ES"/>
        </w:rPr>
        <w:t>facilitan la postulación</w:t>
      </w:r>
      <w:r w:rsidR="00231224">
        <w:rPr>
          <w:rFonts w:ascii="Calibri" w:eastAsia="Calibri" w:hAnsi="Calibri" w:cs="Times New Roman"/>
          <w:lang w:val="es-ES"/>
        </w:rPr>
        <w:t xml:space="preserve"> (esto es refrendado directa o indirectamente en varias preguntas de la encuesta).</w:t>
      </w:r>
    </w:p>
    <w:p w:rsidR="00BA1AB3" w:rsidRDefault="00BA1AB3" w:rsidP="00682A1A">
      <w:pPr>
        <w:spacing w:after="0" w:line="240" w:lineRule="auto"/>
        <w:ind w:left="360"/>
        <w:jc w:val="both"/>
        <w:rPr>
          <w:rFonts w:ascii="Calibri" w:eastAsia="Calibri" w:hAnsi="Calibri" w:cs="Times New Roman"/>
          <w:lang w:val="es-ES"/>
        </w:rPr>
      </w:pPr>
    </w:p>
    <w:p w:rsidR="001602B6" w:rsidRPr="001602B6" w:rsidRDefault="001602B6" w:rsidP="00682A1A">
      <w:pPr>
        <w:spacing w:after="0" w:line="240" w:lineRule="auto"/>
        <w:jc w:val="center"/>
        <w:rPr>
          <w:rFonts w:ascii="Calibri" w:eastAsia="Calibri" w:hAnsi="Calibri" w:cs="Times New Roman"/>
          <w:b/>
          <w:lang w:val="es-ES"/>
        </w:rPr>
      </w:pPr>
      <w:r w:rsidRPr="001602B6">
        <w:rPr>
          <w:rFonts w:ascii="Calibri" w:eastAsia="Calibri" w:hAnsi="Calibri" w:cs="Times New Roman"/>
          <w:b/>
          <w:lang w:val="es-ES"/>
        </w:rPr>
        <w:t>GRÁFICO Nº 3:</w:t>
      </w:r>
    </w:p>
    <w:p w:rsidR="001602B6" w:rsidRPr="001602B6" w:rsidRDefault="001602B6" w:rsidP="00682A1A">
      <w:pPr>
        <w:spacing w:after="0" w:line="240" w:lineRule="auto"/>
        <w:jc w:val="center"/>
        <w:rPr>
          <w:rFonts w:ascii="Calibri" w:eastAsia="Calibri" w:hAnsi="Calibri" w:cs="Times New Roman"/>
          <w:b/>
          <w:lang w:val="es-ES"/>
        </w:rPr>
      </w:pPr>
      <w:r w:rsidRPr="001602B6">
        <w:rPr>
          <w:rFonts w:ascii="Calibri" w:eastAsia="Calibri" w:hAnsi="Calibri" w:cs="Times New Roman"/>
          <w:b/>
          <w:lang w:val="es-ES"/>
        </w:rPr>
        <w:t>DETALLES DEL PROCESO DE POSTULACIÓN</w:t>
      </w:r>
    </w:p>
    <w:p w:rsidR="00BA1AB3" w:rsidRDefault="00BA1AB3" w:rsidP="00682A1A">
      <w:pPr>
        <w:spacing w:after="0" w:line="240" w:lineRule="auto"/>
        <w:ind w:left="284"/>
        <w:jc w:val="center"/>
        <w:rPr>
          <w:rFonts w:ascii="Calibri" w:eastAsia="Calibri" w:hAnsi="Calibri" w:cs="Times New Roman"/>
          <w:lang w:val="es-ES"/>
        </w:rPr>
      </w:pPr>
      <w:r>
        <w:rPr>
          <w:rFonts w:ascii="Calibri" w:eastAsia="Calibri" w:hAnsi="Calibri" w:cs="Times New Roman"/>
          <w:noProof/>
          <w:lang w:eastAsia="es-CL"/>
        </w:rPr>
        <w:drawing>
          <wp:inline distT="0" distB="0" distL="0" distR="0" wp14:anchorId="3ED2A8B9" wp14:editId="329F9607">
            <wp:extent cx="4589145" cy="2752090"/>
            <wp:effectExtent l="0" t="0" r="20955" b="10160"/>
            <wp:docPr id="21" name="Gráfico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636B5" w:rsidRPr="00BD6C11" w:rsidRDefault="00F636B5" w:rsidP="00F636B5">
      <w:pPr>
        <w:spacing w:after="0" w:line="240" w:lineRule="auto"/>
        <w:jc w:val="center"/>
        <w:rPr>
          <w:rFonts w:ascii="Calibri" w:eastAsia="Calibri" w:hAnsi="Calibri" w:cs="Times New Roman"/>
          <w:sz w:val="18"/>
          <w:szCs w:val="18"/>
          <w:lang w:val="es-ES"/>
        </w:rPr>
      </w:pPr>
      <w:r w:rsidRPr="00BD6C11">
        <w:rPr>
          <w:rFonts w:ascii="Calibri" w:eastAsia="Calibri" w:hAnsi="Calibri" w:cs="Times New Roman"/>
          <w:sz w:val="18"/>
          <w:szCs w:val="18"/>
          <w:lang w:val="es-ES"/>
        </w:rPr>
        <w:t>Fuente: Elaboración propia en base a encuesta</w:t>
      </w:r>
      <w:r>
        <w:rPr>
          <w:rFonts w:ascii="Calibri" w:eastAsia="Calibri" w:hAnsi="Calibri" w:cs="Times New Roman"/>
          <w:sz w:val="18"/>
          <w:szCs w:val="18"/>
          <w:lang w:val="es-ES"/>
        </w:rPr>
        <w:t>.</w:t>
      </w:r>
    </w:p>
    <w:p w:rsidR="00231224" w:rsidRDefault="00231224" w:rsidP="00682A1A">
      <w:pPr>
        <w:spacing w:after="0" w:line="240" w:lineRule="auto"/>
        <w:ind w:left="284"/>
        <w:jc w:val="both"/>
        <w:rPr>
          <w:rFonts w:ascii="Calibri" w:eastAsia="Calibri" w:hAnsi="Calibri" w:cs="Times New Roman"/>
          <w:lang w:val="es-ES"/>
        </w:rPr>
      </w:pPr>
    </w:p>
    <w:p w:rsidR="000372B5" w:rsidRDefault="000372B5">
      <w:pPr>
        <w:rPr>
          <w:b/>
        </w:rPr>
      </w:pPr>
      <w:r>
        <w:br w:type="page"/>
      </w:r>
    </w:p>
    <w:p w:rsidR="00776593" w:rsidRPr="009B6D95" w:rsidRDefault="00776593" w:rsidP="009B6D95">
      <w:pPr>
        <w:pStyle w:val="Ttulo2"/>
      </w:pPr>
      <w:bookmarkStart w:id="12" w:name="_Toc341866713"/>
      <w:r w:rsidRPr="009B6D95">
        <w:lastRenderedPageBreak/>
        <w:t>Accesibilidad física y remota a servicios de la ley</w:t>
      </w:r>
      <w:bookmarkEnd w:id="12"/>
    </w:p>
    <w:p w:rsidR="002B4B64" w:rsidRDefault="002B4B64" w:rsidP="00682A1A">
      <w:pPr>
        <w:spacing w:after="0" w:line="240" w:lineRule="auto"/>
        <w:jc w:val="both"/>
      </w:pPr>
    </w:p>
    <w:p w:rsidR="00236CB6" w:rsidRDefault="00FE60F4" w:rsidP="00682A1A">
      <w:pPr>
        <w:spacing w:after="0" w:line="240" w:lineRule="auto"/>
        <w:jc w:val="both"/>
      </w:pPr>
      <w:r>
        <w:t>Salvo el primer año y</w:t>
      </w:r>
      <w:r w:rsidR="00976740">
        <w:t xml:space="preserve"> debido </w:t>
      </w:r>
      <w:r>
        <w:t xml:space="preserve">sobre todo </w:t>
      </w:r>
      <w:r w:rsidR="00976740">
        <w:t xml:space="preserve">a </w:t>
      </w:r>
      <w:r>
        <w:t>des</w:t>
      </w:r>
      <w:r w:rsidR="00976740">
        <w:t>conocimiento</w:t>
      </w:r>
      <w:r w:rsidR="00335450">
        <w:t xml:space="preserve"> de todos los actores –</w:t>
      </w:r>
      <w:r w:rsidR="00236CB6">
        <w:t>in</w:t>
      </w:r>
      <w:r w:rsidR="00335450">
        <w:t xml:space="preserve">cluidos los responsables de las intendencias, encargados de recibir y tramitar las postulaciones–, </w:t>
      </w:r>
      <w:r w:rsidR="00236CB6">
        <w:t xml:space="preserve">los beneficiarios encuestados no manifiestan </w:t>
      </w:r>
      <w:r w:rsidR="00332911">
        <w:t>mayores problemas de acceso a los servicios de la ley, léase formularios de postulación, personal e instituciones a c</w:t>
      </w:r>
      <w:r w:rsidR="00BB34D1">
        <w:t>argo o vinculadas (</w:t>
      </w:r>
      <w:r w:rsidR="009B7576">
        <w:t xml:space="preserve">ahora bien, </w:t>
      </w:r>
      <w:r w:rsidR="00574B23">
        <w:t>s</w:t>
      </w:r>
      <w:r w:rsidR="009B7576">
        <w:t>i fueron encuestados es porque</w:t>
      </w:r>
      <w:r w:rsidR="00574B23">
        <w:t xml:space="preserve"> fueron informados por alguna vía de la existencia del beneficio, cuestión </w:t>
      </w:r>
      <w:r w:rsidR="00BB34D1">
        <w:t>no tan fácil; l</w:t>
      </w:r>
      <w:r w:rsidR="00574B23">
        <w:t xml:space="preserve">uego, </w:t>
      </w:r>
      <w:r w:rsidR="00335450">
        <w:t>otro punto a revisar es el de la difusión</w:t>
      </w:r>
      <w:r w:rsidR="00574B23">
        <w:t xml:space="preserve"> y a </w:t>
      </w:r>
      <w:r w:rsidR="00BB34D1">
        <w:t>él nos referiremos más adelante). L</w:t>
      </w:r>
      <w:r w:rsidR="00332911">
        <w:t xml:space="preserve">os formularios </w:t>
      </w:r>
      <w:r>
        <w:t xml:space="preserve">que deben ser presentados a la Intendencia por los postulantes </w:t>
      </w:r>
      <w:r w:rsidR="00332911">
        <w:t>están disponibles en internet</w:t>
      </w:r>
      <w:r>
        <w:t>, en el sitio de SINIM</w:t>
      </w:r>
      <w:r w:rsidR="00574B23">
        <w:t>, las propias intendencias y otros.</w:t>
      </w:r>
    </w:p>
    <w:p w:rsidR="002B4B64" w:rsidRDefault="002B4B64" w:rsidP="00682A1A">
      <w:pPr>
        <w:spacing w:after="0" w:line="240" w:lineRule="auto"/>
        <w:jc w:val="both"/>
      </w:pPr>
    </w:p>
    <w:p w:rsidR="00574B23" w:rsidRDefault="00574B23" w:rsidP="00682A1A">
      <w:pPr>
        <w:spacing w:after="0" w:line="240" w:lineRule="auto"/>
        <w:jc w:val="both"/>
      </w:pPr>
      <w:r>
        <w:t>Lamentablemente, en Chile y particularmente en las comunas más aisladas, pequeñas, rurales y/o pobres, el acceso a internet o correo electrónico no siempre existe, por lo que la informaci</w:t>
      </w:r>
      <w:r w:rsidR="00B76252">
        <w:t xml:space="preserve">ón debe viajar físicamente. Esto constituye una dificultad </w:t>
      </w:r>
      <w:r>
        <w:t xml:space="preserve">mencionada en </w:t>
      </w:r>
      <w:r w:rsidR="00B76252">
        <w:t>regiones como</w:t>
      </w:r>
      <w:r>
        <w:t xml:space="preserve"> Magallanes</w:t>
      </w:r>
      <w:r w:rsidR="00B76252">
        <w:t>, Aysén y Tarapacá. S</w:t>
      </w:r>
      <w:r>
        <w:t>i bien no bloquea, sí demora más de lo habitual los trámites de postulación. Cuando son los propios beneficiarios los que tienen que presentar en sus universidades (administradores financieros) los certificados que han obtenido de Intendencia, las distancias se convierten en una traba importante.</w:t>
      </w:r>
      <w:r w:rsidR="00BB34D1">
        <w:t xml:space="preserve"> Esto es mencionado por los encargados regionales y aparece también en las encuestas a los beneficiarios.</w:t>
      </w:r>
    </w:p>
    <w:p w:rsidR="002B4B64" w:rsidRDefault="002B4B64" w:rsidP="00682A1A">
      <w:pPr>
        <w:spacing w:after="0" w:line="240" w:lineRule="auto"/>
        <w:jc w:val="both"/>
      </w:pPr>
    </w:p>
    <w:p w:rsidR="00776593" w:rsidRPr="009B6D95" w:rsidRDefault="00776593" w:rsidP="009B6D95">
      <w:pPr>
        <w:pStyle w:val="Ttulo2"/>
      </w:pPr>
      <w:bookmarkStart w:id="13" w:name="_Toc341866714"/>
      <w:r w:rsidRPr="009B6D95">
        <w:t>Registro de instituciones receptoras</w:t>
      </w:r>
      <w:bookmarkEnd w:id="13"/>
    </w:p>
    <w:p w:rsidR="002B4B64" w:rsidRDefault="002B4B64" w:rsidP="00682A1A">
      <w:pPr>
        <w:spacing w:after="0" w:line="240" w:lineRule="auto"/>
        <w:jc w:val="both"/>
      </w:pPr>
    </w:p>
    <w:p w:rsidR="008B0F0F" w:rsidRDefault="008F09FA" w:rsidP="00682A1A">
      <w:pPr>
        <w:spacing w:after="0" w:line="240" w:lineRule="auto"/>
        <w:jc w:val="both"/>
      </w:pPr>
      <w:r>
        <w:t xml:space="preserve">Tal como instruye la ley Nº 20.330, la SUBDERE cuenta con un registro de organizaciones privadas sin fines de lucro al servicio del desarrollo comunal cuyos profesionales y técnicos podrán optar al beneficio. El registro, </w:t>
      </w:r>
      <w:r w:rsidR="008B0F0F">
        <w:t xml:space="preserve">el correspondiente formulario de inscripción, </w:t>
      </w:r>
      <w:r>
        <w:t>al igual que el resto de la información y documentos relacionados con la ley</w:t>
      </w:r>
      <w:r w:rsidR="008B0F0F">
        <w:t xml:space="preserve"> incluidos cuerpos legales</w:t>
      </w:r>
      <w:r>
        <w:t>, está pub</w:t>
      </w:r>
      <w:r w:rsidR="008B0F0F">
        <w:t>licado en el sitio web de SINIM:</w:t>
      </w:r>
    </w:p>
    <w:p w:rsidR="008B0F0F" w:rsidRDefault="00144B2C" w:rsidP="00682A1A">
      <w:pPr>
        <w:spacing w:after="0" w:line="240" w:lineRule="auto"/>
        <w:jc w:val="both"/>
      </w:pPr>
      <w:hyperlink r:id="rId15" w:history="1">
        <w:r w:rsidR="008F09FA" w:rsidRPr="00C01121">
          <w:rPr>
            <w:rStyle w:val="Hipervnculo"/>
          </w:rPr>
          <w:t>http://www.sinim.gov.cl/desarrollo_local/decreto_ley20330/documentos_ley20330.php</w:t>
        </w:r>
      </w:hyperlink>
      <w:r w:rsidR="008B0F0F">
        <w:t>.</w:t>
      </w:r>
    </w:p>
    <w:p w:rsidR="002B4B64" w:rsidRDefault="002B4B64" w:rsidP="00682A1A">
      <w:pPr>
        <w:spacing w:after="0" w:line="240" w:lineRule="auto"/>
        <w:jc w:val="both"/>
      </w:pPr>
    </w:p>
    <w:p w:rsidR="000B65D1" w:rsidRDefault="008F09FA" w:rsidP="00682A1A">
      <w:pPr>
        <w:spacing w:after="0" w:line="240" w:lineRule="auto"/>
        <w:jc w:val="both"/>
      </w:pPr>
      <w:r>
        <w:t xml:space="preserve">Hasta ahora, la única organización inscrita </w:t>
      </w:r>
      <w:r w:rsidR="008B0F0F">
        <w:t xml:space="preserve">en el registro </w:t>
      </w:r>
      <w:r>
        <w:t>es la Fundación para la Superación de la Pobreza</w:t>
      </w:r>
      <w:r w:rsidR="008B0F0F">
        <w:t xml:space="preserve"> (en el sitio web mencionado se encuentran el formulario presentado por la Fundación, el certificado de vigencia de su personalidad jurídica y el documento emitido por la secretaría municipal –en</w:t>
      </w:r>
      <w:r w:rsidR="00FF2FED">
        <w:t xml:space="preserve"> este caso C</w:t>
      </w:r>
      <w:r w:rsidR="008B0F0F">
        <w:t xml:space="preserve">omuna de Primavera– que certifica que la organización presta funciones de apoyo a la </w:t>
      </w:r>
      <w:r w:rsidR="00FF2FED">
        <w:t>M</w:t>
      </w:r>
      <w:r w:rsidR="008B0F0F">
        <w:t>unicipalidad; todos estos documentos son ex</w:t>
      </w:r>
      <w:r w:rsidR="00FF2FED">
        <w:t>igidos por el reglamento de la L</w:t>
      </w:r>
      <w:r w:rsidR="008B0F0F">
        <w:t>ey como requisitos para obtener la inscripción)</w:t>
      </w:r>
      <w:r>
        <w:t>.</w:t>
      </w:r>
    </w:p>
    <w:p w:rsidR="002B4B64" w:rsidRDefault="002B4B64" w:rsidP="00682A1A">
      <w:pPr>
        <w:spacing w:after="0" w:line="240" w:lineRule="auto"/>
        <w:jc w:val="both"/>
      </w:pPr>
    </w:p>
    <w:p w:rsidR="00A101CE" w:rsidRDefault="00FF2FED" w:rsidP="00682A1A">
      <w:pPr>
        <w:pStyle w:val="Prrafodelista"/>
        <w:spacing w:after="0" w:line="240" w:lineRule="auto"/>
        <w:ind w:left="0"/>
        <w:jc w:val="both"/>
      </w:pPr>
      <w:r>
        <w:t>Teniendo en cuenta que la L</w:t>
      </w:r>
      <w:r w:rsidR="008F09FA">
        <w:t xml:space="preserve">ey tiene unos tres años y medio de vigencia, la inscripción de una sola </w:t>
      </w:r>
      <w:r w:rsidR="008B0F0F">
        <w:t>institución</w:t>
      </w:r>
      <w:r w:rsidR="008F09FA">
        <w:t xml:space="preserve"> habla de la falta de difusión del programa de beneficios. A la fecha</w:t>
      </w:r>
      <w:r w:rsidR="008B0F0F">
        <w:t>,</w:t>
      </w:r>
      <w:r w:rsidR="008F09FA">
        <w:t xml:space="preserve"> 7 profesionales de esa </w:t>
      </w:r>
      <w:r>
        <w:t>F</w:t>
      </w:r>
      <w:r w:rsidR="008F09FA">
        <w:t>undación lo</w:t>
      </w:r>
      <w:r w:rsidR="00F2198F">
        <w:t>s</w:t>
      </w:r>
      <w:r w:rsidR="008F09FA">
        <w:t xml:space="preserve"> han obtenido.</w:t>
      </w:r>
    </w:p>
    <w:p w:rsidR="00A101CE" w:rsidRDefault="00A101CE" w:rsidP="00682A1A">
      <w:pPr>
        <w:pStyle w:val="Prrafodelista"/>
        <w:spacing w:after="0" w:line="240" w:lineRule="auto"/>
        <w:ind w:left="0"/>
        <w:jc w:val="both"/>
      </w:pPr>
    </w:p>
    <w:p w:rsidR="00D452EF" w:rsidRPr="009B6D95" w:rsidRDefault="00274A07" w:rsidP="009B6D95">
      <w:pPr>
        <w:pStyle w:val="Ttulo2"/>
      </w:pPr>
      <w:bookmarkStart w:id="14" w:name="_Toc341866715"/>
      <w:r w:rsidRPr="009B6D95">
        <w:t>Acceso a la i</w:t>
      </w:r>
      <w:r w:rsidR="00D452EF" w:rsidRPr="009B6D95">
        <w:t>nformación</w:t>
      </w:r>
      <w:r w:rsidRPr="009B6D95">
        <w:t xml:space="preserve"> respecto a la ley y su aplicación</w:t>
      </w:r>
      <w:bookmarkEnd w:id="14"/>
    </w:p>
    <w:p w:rsidR="002B4B64" w:rsidRDefault="002B4B64" w:rsidP="00682A1A">
      <w:pPr>
        <w:spacing w:after="0" w:line="240" w:lineRule="auto"/>
        <w:jc w:val="both"/>
      </w:pPr>
    </w:p>
    <w:p w:rsidR="00D452EF" w:rsidRDefault="00D452EF" w:rsidP="00682A1A">
      <w:pPr>
        <w:spacing w:after="0" w:line="240" w:lineRule="auto"/>
        <w:jc w:val="both"/>
      </w:pPr>
      <w:r>
        <w:t xml:space="preserve">Como ya se ha mencionado, sobre todo en el primer año de operación de la ley hubo problemas de información, tanto para los beneficiarios como para los propios encargados de las intendencias. </w:t>
      </w:r>
      <w:r w:rsidR="00970E8E" w:rsidRPr="00876A54">
        <w:t>Si bien en agosto de 2009 se publicó el reglamento de</w:t>
      </w:r>
      <w:r w:rsidR="00876A54" w:rsidRPr="00876A54">
        <w:t xml:space="preserve"> </w:t>
      </w:r>
      <w:r w:rsidR="00970E8E" w:rsidRPr="00876A54">
        <w:t>l</w:t>
      </w:r>
      <w:r w:rsidR="00876A54" w:rsidRPr="00876A54">
        <w:t>a</w:t>
      </w:r>
      <w:r w:rsidR="00970E8E" w:rsidRPr="00876A54">
        <w:t xml:space="preserve"> </w:t>
      </w:r>
      <w:r w:rsidR="00FF2FED">
        <w:t>L</w:t>
      </w:r>
      <w:r w:rsidR="00970E8E" w:rsidRPr="00876A54">
        <w:t>ey (Decreto Nº 403 del Ministerio del Interior), informan los encargados regionales que éste no tuvo mucha difusión</w:t>
      </w:r>
      <w:r w:rsidR="00876A54" w:rsidRPr="00876A54">
        <w:t xml:space="preserve">, además de ser confuso en varios aspectos. Por otro lado, </w:t>
      </w:r>
      <w:r w:rsidRPr="00876A54">
        <w:t xml:space="preserve">no había procesos diseñados ni mucho menos </w:t>
      </w:r>
      <w:r>
        <w:t>estandarizados</w:t>
      </w:r>
      <w:r w:rsidR="00096E67">
        <w:t xml:space="preserve"> para aplicar la </w:t>
      </w:r>
      <w:r w:rsidR="00FF2FED">
        <w:t>L</w:t>
      </w:r>
      <w:r w:rsidR="00096E67">
        <w:t>ey</w:t>
      </w:r>
      <w:r>
        <w:t xml:space="preserve">. </w:t>
      </w:r>
      <w:r w:rsidR="009146B0">
        <w:t>E</w:t>
      </w:r>
      <w:r>
        <w:t xml:space="preserve">n abril de 2010, esto es a más de un año de vigencia de </w:t>
      </w:r>
      <w:r w:rsidR="00096E67">
        <w:lastRenderedPageBreak/>
        <w:t>aquélla</w:t>
      </w:r>
      <w:r>
        <w:t>, la SUBDERE emitió un oficio circular (Nº 37 del 29 de abril) en que acompañó un documento denominado “Instrucciones, alcances y procedimiento sugerido” que permitió dotar de cierto orden y estandarización a los procesos.</w:t>
      </w:r>
      <w:r w:rsidR="001E5C10">
        <w:rPr>
          <w:color w:val="FF0000"/>
        </w:rPr>
        <w:t xml:space="preserve"> </w:t>
      </w:r>
      <w:r w:rsidR="00096E67" w:rsidRPr="00096E67">
        <w:t>No obstante</w:t>
      </w:r>
      <w:r w:rsidR="00096E67">
        <w:t xml:space="preserve"> esto</w:t>
      </w:r>
      <w:r w:rsidR="00096E67" w:rsidRPr="00096E67">
        <w:t>, e</w:t>
      </w:r>
      <w:r>
        <w:t xml:space="preserve">n las entrevistas a los encargados regionales se critica </w:t>
      </w:r>
      <w:r w:rsidR="00096E67">
        <w:t xml:space="preserve">aún </w:t>
      </w:r>
      <w:r>
        <w:t>la ausencia de lo que varios de ellos consideran una necesaria capacitación.</w:t>
      </w:r>
    </w:p>
    <w:p w:rsidR="002B4B64" w:rsidRDefault="002B4B64" w:rsidP="00682A1A">
      <w:pPr>
        <w:spacing w:after="0" w:line="240" w:lineRule="auto"/>
        <w:jc w:val="both"/>
      </w:pPr>
    </w:p>
    <w:p w:rsidR="00F9078A" w:rsidRDefault="00F9078A" w:rsidP="00682A1A">
      <w:pPr>
        <w:spacing w:after="0" w:line="240" w:lineRule="auto"/>
        <w:jc w:val="both"/>
      </w:pPr>
      <w:r>
        <w:t xml:space="preserve">De manera aún más tardía (oficio ordinario Nº 130422/42375 del 10 de septiembre de 2010, </w:t>
      </w:r>
      <w:r w:rsidR="00FF2FED">
        <w:t xml:space="preserve">dirigido </w:t>
      </w:r>
      <w:r>
        <w:t>al Subsecretario de Desarrollo Regional y Administrativo), la Tesorería General de la República emite un procedimiento relativo a los pasos y documentos necesarios para pagar el beneficio a quien corresponda (administrador financiero de cada institución de estudios superiores, Comisión Ingresa o el propio beneficiario). Asimismo</w:t>
      </w:r>
      <w:r w:rsidR="00FF2FED">
        <w:t>,</w:t>
      </w:r>
      <w:r>
        <w:t xml:space="preserve"> establece ciertos plazos para recibir documentación y cursar los pagos una vez al año.</w:t>
      </w:r>
    </w:p>
    <w:p w:rsidR="002B4B64" w:rsidRDefault="002B4B64" w:rsidP="00682A1A">
      <w:pPr>
        <w:spacing w:after="0" w:line="240" w:lineRule="auto"/>
        <w:jc w:val="both"/>
      </w:pPr>
    </w:p>
    <w:p w:rsidR="00231224" w:rsidRDefault="00274A07" w:rsidP="00682A1A">
      <w:pPr>
        <w:spacing w:after="0" w:line="240" w:lineRule="auto"/>
        <w:jc w:val="both"/>
      </w:pPr>
      <w:r>
        <w:t>No obstante lo anterior, hoy en día tanto los encargados como los beneficiarios opinan, mayoritariamente, que la información está disponible y, aún más, que la tramitación de la postulación es sencilla (por supuesto hay casos individuales en que esto no ha ocurrido).</w:t>
      </w:r>
    </w:p>
    <w:p w:rsidR="00FF2FED" w:rsidRDefault="00FF2FED" w:rsidP="00FF2FED">
      <w:pPr>
        <w:pStyle w:val="Ttulo2"/>
        <w:numPr>
          <w:ilvl w:val="0"/>
          <w:numId w:val="0"/>
        </w:numPr>
        <w:ind w:left="360" w:hanging="360"/>
      </w:pPr>
    </w:p>
    <w:p w:rsidR="00274A07" w:rsidRPr="009B6D95" w:rsidRDefault="00274A07" w:rsidP="009B6D95">
      <w:pPr>
        <w:pStyle w:val="Ttulo2"/>
      </w:pPr>
      <w:bookmarkStart w:id="15" w:name="_Toc341866716"/>
      <w:r w:rsidRPr="009B6D95">
        <w:t>Difusión</w:t>
      </w:r>
      <w:r w:rsidR="00C016A5" w:rsidRPr="009B6D95">
        <w:t xml:space="preserve"> de la existencia del beneficio</w:t>
      </w:r>
      <w:bookmarkEnd w:id="15"/>
    </w:p>
    <w:p w:rsidR="002B4B64" w:rsidRDefault="002B4B64" w:rsidP="00682A1A">
      <w:pPr>
        <w:spacing w:after="0" w:line="240" w:lineRule="auto"/>
        <w:jc w:val="both"/>
      </w:pPr>
    </w:p>
    <w:p w:rsidR="00E12E9B" w:rsidRDefault="00C27D20" w:rsidP="00682A1A">
      <w:pPr>
        <w:spacing w:after="0" w:line="240" w:lineRule="auto"/>
        <w:jc w:val="both"/>
      </w:pPr>
      <w:r>
        <w:t>Hemos visto que l</w:t>
      </w:r>
      <w:r w:rsidR="00E12E9B">
        <w:t xml:space="preserve">a difusión </w:t>
      </w:r>
      <w:r w:rsidR="00F74001">
        <w:t>a las propias intendencias –que deberían hacerse cargo de la tramitación del beneficio–</w:t>
      </w:r>
      <w:r w:rsidR="00A44CFE">
        <w:t xml:space="preserve"> </w:t>
      </w:r>
      <w:r w:rsidR="00E12E9B">
        <w:t xml:space="preserve">de la entrada en vigencia de la Ley Nº 20.330 no siguió canales formales sino hasta </w:t>
      </w:r>
      <w:r>
        <w:t xml:space="preserve">el oficio circular Nº 37 de SUBDERE de </w:t>
      </w:r>
      <w:r w:rsidR="00E12E9B">
        <w:t xml:space="preserve">abril de 2010. Antes de eso, la información llegó por vías informales, como por ejemplo un postulante que </w:t>
      </w:r>
      <w:r w:rsidR="00F74001">
        <w:t>acudió</w:t>
      </w:r>
      <w:r w:rsidR="00E12E9B">
        <w:t xml:space="preserve"> en busca de información o algún funcionario de la propia Intendencia, que </w:t>
      </w:r>
      <w:r w:rsidR="00F74001">
        <w:t xml:space="preserve">se enteró por el Diario Oficial u otra vía. Siendo así y tampoco habiendo un proceso de capacitación sobre el nuevo programa, cada Intendencia definió </w:t>
      </w:r>
      <w:r>
        <w:t>su propia forma de enfrentarlo.</w:t>
      </w:r>
    </w:p>
    <w:p w:rsidR="002B4B64" w:rsidRDefault="002B4B64" w:rsidP="00682A1A">
      <w:pPr>
        <w:spacing w:after="0" w:line="240" w:lineRule="auto"/>
        <w:jc w:val="both"/>
      </w:pPr>
    </w:p>
    <w:p w:rsidR="00B76252" w:rsidRDefault="00F74001" w:rsidP="00682A1A">
      <w:pPr>
        <w:spacing w:after="0" w:line="240" w:lineRule="auto"/>
        <w:jc w:val="both"/>
      </w:pPr>
      <w:r>
        <w:t>Por su parte, los potenciales candidatos al beneficio económico se fueron enterando o por su propia cuenta y casualmente</w:t>
      </w:r>
      <w:r w:rsidR="00B84225">
        <w:t xml:space="preserve"> al principio</w:t>
      </w:r>
      <w:r>
        <w:t xml:space="preserve"> o bien</w:t>
      </w:r>
      <w:r w:rsidR="00B84225">
        <w:t>,</w:t>
      </w:r>
      <w:r>
        <w:t xml:space="preserve"> más tarde, cuando la Intendencia ofició –por propia iniciativa y no por un procedimiento formalmente establecido</w:t>
      </w:r>
      <w:r w:rsidR="006665C4">
        <w:t>, aunque todas las intendencias lo hicieron</w:t>
      </w:r>
      <w:r>
        <w:t>– a los municipios de la región respectiva</w:t>
      </w:r>
      <w:r w:rsidR="007C5F4F">
        <w:t>,</w:t>
      </w:r>
      <w:r>
        <w:t xml:space="preserve"> y siempre que la información haya “bajado” a todos los funcionarios desde la Alcaldía o la Secretaría de Planificación, cuestión que tampoco ocurrió de manera uniforme en los municipios del país y, de hecho, sigue sin ocurrir uniformemente</w:t>
      </w:r>
      <w:r w:rsidR="007C5F4F">
        <w:t xml:space="preserve"> (según indican los beneficiarios encuestados y sugieren los encargados regionales)</w:t>
      </w:r>
      <w:r>
        <w:t>.</w:t>
      </w:r>
      <w:r w:rsidR="007C5F4F">
        <w:t xml:space="preserve"> </w:t>
      </w:r>
      <w:r w:rsidR="00B84225">
        <w:t xml:space="preserve">En algunas regiones, los encargados en Intendencia indican que buena parte de la difusión ha sido “de boca en boca”. </w:t>
      </w:r>
      <w:r w:rsidR="0020411A">
        <w:t>Con todo, e</w:t>
      </w:r>
      <w:r w:rsidR="00B84225">
        <w:t xml:space="preserve">n el caso de Magallanes, en 2011 se difundió la información a través de las radios locales, pero la encargada manifiesta que ese mecanismo no tuvo mayor impacto y </w:t>
      </w:r>
      <w:r w:rsidR="007C5F4F">
        <w:t xml:space="preserve">hoy </w:t>
      </w:r>
      <w:r w:rsidR="00B84225">
        <w:t>se recurre a otras formas como el oficio a municipios, pero también llamados telefónicos o correos electrónicos.</w:t>
      </w:r>
      <w:r w:rsidR="00B76252" w:rsidRPr="00B76252">
        <w:t xml:space="preserve"> </w:t>
      </w:r>
      <w:r w:rsidR="00B76252">
        <w:t xml:space="preserve">En Tarapacá, los llamados </w:t>
      </w:r>
      <w:r w:rsidR="007C5F4F">
        <w:t xml:space="preserve">a postular </w:t>
      </w:r>
      <w:r w:rsidR="00B76252">
        <w:t xml:space="preserve">se publican en el </w:t>
      </w:r>
      <w:r w:rsidR="007C5F4F">
        <w:t>d</w:t>
      </w:r>
      <w:r w:rsidR="00B76252">
        <w:t xml:space="preserve">iario </w:t>
      </w:r>
      <w:r w:rsidR="007C5F4F">
        <w:t>r</w:t>
      </w:r>
      <w:r w:rsidR="00B76252">
        <w:t>egional. En Antofagasta, el beneficio ha sido difundido por la radio de la región. En O´Higgins</w:t>
      </w:r>
      <w:r w:rsidR="007C5F4F">
        <w:t>,</w:t>
      </w:r>
      <w:r w:rsidR="00B76252">
        <w:t xml:space="preserve"> existe un díptico del Departamento Social en que se difunden todos los beneficios y becas que tiene la región, entre ellos la Ley </w:t>
      </w:r>
      <w:r w:rsidR="007C5F4F">
        <w:t xml:space="preserve">Nº </w:t>
      </w:r>
      <w:r w:rsidR="00B76252">
        <w:t>20.330.</w:t>
      </w:r>
      <w:r w:rsidR="0020411A">
        <w:t xml:space="preserve"> En Aysén, el beneficio se difunde a través de los g</w:t>
      </w:r>
      <w:r w:rsidR="00B76252">
        <w:t>obernadores</w:t>
      </w:r>
      <w:r w:rsidR="0020411A">
        <w:t>.</w:t>
      </w:r>
    </w:p>
    <w:p w:rsidR="002B4B64" w:rsidRDefault="002B4B64" w:rsidP="00682A1A">
      <w:pPr>
        <w:spacing w:after="0" w:line="240" w:lineRule="auto"/>
        <w:jc w:val="both"/>
      </w:pPr>
    </w:p>
    <w:p w:rsidR="00A8451C" w:rsidRDefault="00B84225" w:rsidP="00682A1A">
      <w:pPr>
        <w:spacing w:after="0" w:line="240" w:lineRule="auto"/>
        <w:jc w:val="both"/>
      </w:pPr>
      <w:r>
        <w:t xml:space="preserve">Un indicador de la escasa </w:t>
      </w:r>
      <w:r w:rsidR="007C5F4F">
        <w:t xml:space="preserve">–o irregular– </w:t>
      </w:r>
      <w:r>
        <w:t>difusión</w:t>
      </w:r>
      <w:r w:rsidR="007C5F4F">
        <w:t>,</w:t>
      </w:r>
      <w:r>
        <w:t xml:space="preserve"> es la escasez de postulantes en relación con los cupos regionales asignados y la ausencia de postulaciones en ciertas comunas.</w:t>
      </w:r>
      <w:r w:rsidR="00136FD1">
        <w:t xml:space="preserve"> </w:t>
      </w:r>
      <w:r>
        <w:t xml:space="preserve">Otro </w:t>
      </w:r>
      <w:r w:rsidR="00A57C10">
        <w:t xml:space="preserve">probable </w:t>
      </w:r>
      <w:r>
        <w:t xml:space="preserve">indicador </w:t>
      </w:r>
      <w:r w:rsidR="00A57C10">
        <w:t xml:space="preserve">es </w:t>
      </w:r>
      <w:r w:rsidR="00A8451C">
        <w:t xml:space="preserve">que sólo la Fundación para Superación de la Pobreza se encuentre registrada en la </w:t>
      </w:r>
      <w:r w:rsidR="00A8451C">
        <w:lastRenderedPageBreak/>
        <w:t xml:space="preserve">SUBDERE </w:t>
      </w:r>
      <w:r w:rsidR="007C5F4F">
        <w:t>como potencial acreedora de cupos</w:t>
      </w:r>
      <w:r w:rsidR="00136FD1">
        <w:t>, siendo que en el país existen bastantes más organizaciones privadas sin fines de lucro que apoyan el trabajo municipal.</w:t>
      </w:r>
    </w:p>
    <w:p w:rsidR="002B4B64" w:rsidRDefault="002B4B64" w:rsidP="00682A1A">
      <w:pPr>
        <w:spacing w:after="0" w:line="240" w:lineRule="auto"/>
        <w:jc w:val="both"/>
      </w:pPr>
    </w:p>
    <w:p w:rsidR="00BB34D1" w:rsidRDefault="00BB34D1" w:rsidP="00682A1A">
      <w:pPr>
        <w:spacing w:after="0" w:line="240" w:lineRule="auto"/>
        <w:jc w:val="both"/>
        <w:rPr>
          <w:rFonts w:ascii="Calibri" w:eastAsia="Calibri" w:hAnsi="Calibri" w:cs="Times New Roman"/>
          <w:lang w:val="es-ES"/>
        </w:rPr>
      </w:pPr>
      <w:r>
        <w:rPr>
          <w:rFonts w:ascii="Calibri" w:eastAsia="Calibri" w:hAnsi="Calibri" w:cs="Times New Roman"/>
          <w:lang w:val="es-ES"/>
        </w:rPr>
        <w:t>La encuesta a los beneficiarios arroja detalles sobre la difusión –y sus</w:t>
      </w:r>
      <w:r w:rsidR="00F5331E">
        <w:rPr>
          <w:rFonts w:ascii="Calibri" w:eastAsia="Calibri" w:hAnsi="Calibri" w:cs="Times New Roman"/>
          <w:lang w:val="es-ES"/>
        </w:rPr>
        <w:t xml:space="preserve"> problemas– de la ley Nº 20.330 (Gráfico Nº 4).</w:t>
      </w:r>
    </w:p>
    <w:p w:rsidR="00BB34D1" w:rsidRDefault="00BB34D1" w:rsidP="00682A1A">
      <w:pPr>
        <w:spacing w:after="0" w:line="240" w:lineRule="auto"/>
        <w:jc w:val="both"/>
        <w:rPr>
          <w:rFonts w:ascii="Calibri" w:eastAsia="Calibri" w:hAnsi="Calibri" w:cs="Times New Roman"/>
          <w:lang w:val="es-ES"/>
        </w:rPr>
      </w:pPr>
    </w:p>
    <w:p w:rsidR="00BA1AB3" w:rsidRDefault="00F5331E" w:rsidP="00682A1A">
      <w:pPr>
        <w:spacing w:after="0" w:line="240" w:lineRule="auto"/>
        <w:jc w:val="both"/>
        <w:rPr>
          <w:rFonts w:ascii="Calibri" w:eastAsia="Calibri" w:hAnsi="Calibri" w:cs="Times New Roman"/>
          <w:lang w:val="es-ES"/>
        </w:rPr>
      </w:pPr>
      <w:r>
        <w:rPr>
          <w:rFonts w:ascii="Calibri" w:eastAsia="Calibri" w:hAnsi="Calibri" w:cs="Times New Roman"/>
          <w:lang w:val="es-ES"/>
        </w:rPr>
        <w:t xml:space="preserve">38 </w:t>
      </w:r>
      <w:r w:rsidR="00BB34D1">
        <w:rPr>
          <w:rFonts w:ascii="Calibri" w:eastAsia="Calibri" w:hAnsi="Calibri" w:cs="Times New Roman"/>
          <w:lang w:val="es-ES"/>
        </w:rPr>
        <w:t>encuestados</w:t>
      </w:r>
      <w:r w:rsidR="00BA1AB3">
        <w:rPr>
          <w:rFonts w:ascii="Calibri" w:eastAsia="Calibri" w:hAnsi="Calibri" w:cs="Times New Roman"/>
          <w:lang w:val="es-ES"/>
        </w:rPr>
        <w:t xml:space="preserve"> </w:t>
      </w:r>
      <w:r>
        <w:rPr>
          <w:rFonts w:ascii="Calibri" w:eastAsia="Calibri" w:hAnsi="Calibri" w:cs="Times New Roman"/>
          <w:lang w:val="es-ES"/>
        </w:rPr>
        <w:t>(42,2 %) supieron</w:t>
      </w:r>
      <w:r w:rsidR="00BA1AB3">
        <w:rPr>
          <w:rFonts w:ascii="Calibri" w:eastAsia="Calibri" w:hAnsi="Calibri" w:cs="Times New Roman"/>
          <w:lang w:val="es-ES"/>
        </w:rPr>
        <w:t xml:space="preserve"> de la Ley a través de </w:t>
      </w:r>
      <w:r w:rsidR="00BB34D1">
        <w:rPr>
          <w:rFonts w:ascii="Calibri" w:eastAsia="Calibri" w:hAnsi="Calibri" w:cs="Times New Roman"/>
          <w:lang w:val="es-ES"/>
        </w:rPr>
        <w:t>o</w:t>
      </w:r>
      <w:r w:rsidR="00BA1AB3">
        <w:rPr>
          <w:rFonts w:ascii="Calibri" w:eastAsia="Calibri" w:hAnsi="Calibri" w:cs="Times New Roman"/>
          <w:lang w:val="es-ES"/>
        </w:rPr>
        <w:t>fic</w:t>
      </w:r>
      <w:r w:rsidR="00BB34D1">
        <w:rPr>
          <w:rFonts w:ascii="Calibri" w:eastAsia="Calibri" w:hAnsi="Calibri" w:cs="Times New Roman"/>
          <w:lang w:val="es-ES"/>
        </w:rPr>
        <w:t xml:space="preserve">io emitido por la Intendencia a </w:t>
      </w:r>
      <w:r w:rsidR="00BA1AB3">
        <w:rPr>
          <w:rFonts w:ascii="Calibri" w:eastAsia="Calibri" w:hAnsi="Calibri" w:cs="Times New Roman"/>
          <w:lang w:val="es-ES"/>
        </w:rPr>
        <w:t>l</w:t>
      </w:r>
      <w:r w:rsidR="00BB34D1">
        <w:rPr>
          <w:rFonts w:ascii="Calibri" w:eastAsia="Calibri" w:hAnsi="Calibri" w:cs="Times New Roman"/>
          <w:lang w:val="es-ES"/>
        </w:rPr>
        <w:t>a</w:t>
      </w:r>
      <w:r w:rsidR="00BA1AB3">
        <w:rPr>
          <w:rFonts w:ascii="Calibri" w:eastAsia="Calibri" w:hAnsi="Calibri" w:cs="Times New Roman"/>
          <w:lang w:val="es-ES"/>
        </w:rPr>
        <w:t>s comunas en las cuales se desempeña</w:t>
      </w:r>
      <w:r w:rsidR="006665C4">
        <w:rPr>
          <w:rFonts w:ascii="Calibri" w:eastAsia="Calibri" w:hAnsi="Calibri" w:cs="Times New Roman"/>
          <w:lang w:val="es-ES"/>
        </w:rPr>
        <w:t>ba</w:t>
      </w:r>
      <w:r w:rsidR="00BB34D1">
        <w:rPr>
          <w:rFonts w:ascii="Calibri" w:eastAsia="Calibri" w:hAnsi="Calibri" w:cs="Times New Roman"/>
          <w:lang w:val="es-ES"/>
        </w:rPr>
        <w:t>n. La inf</w:t>
      </w:r>
      <w:r w:rsidR="007C5F4F">
        <w:rPr>
          <w:rFonts w:ascii="Calibri" w:eastAsia="Calibri" w:hAnsi="Calibri" w:cs="Times New Roman"/>
          <w:lang w:val="es-ES"/>
        </w:rPr>
        <w:t>ormación fue difundida por el A</w:t>
      </w:r>
      <w:r w:rsidR="00BB34D1">
        <w:rPr>
          <w:rFonts w:ascii="Calibri" w:eastAsia="Calibri" w:hAnsi="Calibri" w:cs="Times New Roman"/>
          <w:lang w:val="es-ES"/>
        </w:rPr>
        <w:t>lcalde, mediante los procedimientos internos (y disímiles) de los municipios.</w:t>
      </w:r>
    </w:p>
    <w:p w:rsidR="00BB34D1" w:rsidRDefault="00BB34D1" w:rsidP="00682A1A">
      <w:pPr>
        <w:spacing w:after="0" w:line="240" w:lineRule="auto"/>
        <w:jc w:val="both"/>
        <w:rPr>
          <w:rFonts w:ascii="Calibri" w:eastAsia="Calibri" w:hAnsi="Calibri" w:cs="Times New Roman"/>
          <w:lang w:val="es-ES"/>
        </w:rPr>
      </w:pPr>
    </w:p>
    <w:p w:rsidR="00BA1AB3" w:rsidRDefault="00BA1AB3" w:rsidP="00682A1A">
      <w:pPr>
        <w:spacing w:after="0" w:line="240" w:lineRule="auto"/>
        <w:jc w:val="both"/>
        <w:rPr>
          <w:rFonts w:ascii="Calibri" w:eastAsia="Calibri" w:hAnsi="Calibri" w:cs="Times New Roman"/>
          <w:lang w:val="es-ES"/>
        </w:rPr>
      </w:pPr>
      <w:r>
        <w:rPr>
          <w:rFonts w:ascii="Calibri" w:eastAsia="Calibri" w:hAnsi="Calibri" w:cs="Times New Roman"/>
          <w:lang w:val="es-ES"/>
        </w:rPr>
        <w:t xml:space="preserve">El resto de los encuestados </w:t>
      </w:r>
      <w:r w:rsidR="00BB34D1">
        <w:rPr>
          <w:rFonts w:ascii="Calibri" w:eastAsia="Calibri" w:hAnsi="Calibri" w:cs="Times New Roman"/>
          <w:lang w:val="es-ES"/>
        </w:rPr>
        <w:t>declara haberse enterado de la existencia de la Ley</w:t>
      </w:r>
      <w:r>
        <w:rPr>
          <w:rFonts w:ascii="Calibri" w:eastAsia="Calibri" w:hAnsi="Calibri" w:cs="Times New Roman"/>
          <w:lang w:val="es-ES"/>
        </w:rPr>
        <w:t xml:space="preserve"> por medio de sus colegas</w:t>
      </w:r>
      <w:r w:rsidR="00BB34D1">
        <w:rPr>
          <w:rFonts w:ascii="Calibri" w:eastAsia="Calibri" w:hAnsi="Calibri" w:cs="Times New Roman"/>
          <w:lang w:val="es-ES"/>
        </w:rPr>
        <w:t xml:space="preserve"> y</w:t>
      </w:r>
      <w:r>
        <w:rPr>
          <w:rFonts w:ascii="Calibri" w:eastAsia="Calibri" w:hAnsi="Calibri" w:cs="Times New Roman"/>
          <w:lang w:val="es-ES"/>
        </w:rPr>
        <w:t xml:space="preserve"> amigos de universidad</w:t>
      </w:r>
      <w:r w:rsidR="00BB34D1">
        <w:rPr>
          <w:rFonts w:ascii="Calibri" w:eastAsia="Calibri" w:hAnsi="Calibri" w:cs="Times New Roman"/>
          <w:lang w:val="es-ES"/>
        </w:rPr>
        <w:t xml:space="preserve">, </w:t>
      </w:r>
      <w:r>
        <w:rPr>
          <w:rFonts w:ascii="Calibri" w:eastAsia="Calibri" w:hAnsi="Calibri" w:cs="Times New Roman"/>
          <w:lang w:val="es-ES"/>
        </w:rPr>
        <w:t>páginas web de sus regiones</w:t>
      </w:r>
      <w:r w:rsidR="007C5F4F">
        <w:rPr>
          <w:rFonts w:ascii="Calibri" w:eastAsia="Calibri" w:hAnsi="Calibri" w:cs="Times New Roman"/>
          <w:lang w:val="es-ES"/>
        </w:rPr>
        <w:t xml:space="preserve"> y otro</w:t>
      </w:r>
      <w:r w:rsidR="00BB34D1">
        <w:rPr>
          <w:rFonts w:ascii="Calibri" w:eastAsia="Calibri" w:hAnsi="Calibri" w:cs="Times New Roman"/>
          <w:lang w:val="es-ES"/>
        </w:rPr>
        <w:t xml:space="preserve">s </w:t>
      </w:r>
      <w:r w:rsidR="007C5F4F">
        <w:rPr>
          <w:rFonts w:ascii="Calibri" w:eastAsia="Calibri" w:hAnsi="Calibri" w:cs="Times New Roman"/>
          <w:lang w:val="es-ES"/>
        </w:rPr>
        <w:t xml:space="preserve">lugares </w:t>
      </w:r>
      <w:r w:rsidR="00BB34D1">
        <w:rPr>
          <w:rFonts w:ascii="Calibri" w:eastAsia="Calibri" w:hAnsi="Calibri" w:cs="Times New Roman"/>
          <w:lang w:val="es-ES"/>
        </w:rPr>
        <w:t>en que encontraron casualmente la información.</w:t>
      </w:r>
      <w:r w:rsidR="00E90E78">
        <w:rPr>
          <w:rFonts w:ascii="Calibri" w:eastAsia="Calibri" w:hAnsi="Calibri" w:cs="Times New Roman"/>
          <w:lang w:val="es-ES"/>
        </w:rPr>
        <w:t xml:space="preserve"> Algunos (11,1 %</w:t>
      </w:r>
      <w:r w:rsidR="00F5331E">
        <w:rPr>
          <w:rFonts w:ascii="Calibri" w:eastAsia="Calibri" w:hAnsi="Calibri" w:cs="Times New Roman"/>
          <w:lang w:val="es-ES"/>
        </w:rPr>
        <w:t>, equivalente a 10 casos</w:t>
      </w:r>
      <w:r w:rsidR="00E90E78">
        <w:rPr>
          <w:rFonts w:ascii="Calibri" w:eastAsia="Calibri" w:hAnsi="Calibri" w:cs="Times New Roman"/>
          <w:lang w:val="es-ES"/>
        </w:rPr>
        <w:t>) se enteraron al pagar su deuda en la universidad.</w:t>
      </w:r>
    </w:p>
    <w:p w:rsidR="00146DAF" w:rsidRDefault="00146DAF" w:rsidP="00682A1A">
      <w:pPr>
        <w:spacing w:after="0" w:line="240" w:lineRule="auto"/>
        <w:jc w:val="center"/>
        <w:rPr>
          <w:rFonts w:ascii="Calibri" w:eastAsia="Calibri" w:hAnsi="Calibri" w:cs="Times New Roman"/>
          <w:b/>
          <w:lang w:val="es-ES"/>
        </w:rPr>
      </w:pPr>
    </w:p>
    <w:p w:rsidR="003E29D8" w:rsidRPr="003E29D8" w:rsidRDefault="003E29D8" w:rsidP="00682A1A">
      <w:pPr>
        <w:spacing w:after="0" w:line="240" w:lineRule="auto"/>
        <w:jc w:val="center"/>
        <w:rPr>
          <w:rFonts w:ascii="Calibri" w:eastAsia="Calibri" w:hAnsi="Calibri" w:cs="Times New Roman"/>
          <w:b/>
          <w:lang w:val="es-ES"/>
        </w:rPr>
      </w:pPr>
      <w:r w:rsidRPr="003E29D8">
        <w:rPr>
          <w:rFonts w:ascii="Calibri" w:eastAsia="Calibri" w:hAnsi="Calibri" w:cs="Times New Roman"/>
          <w:b/>
          <w:lang w:val="es-ES"/>
        </w:rPr>
        <w:t>GRÁFICO Nº 4:</w:t>
      </w:r>
    </w:p>
    <w:p w:rsidR="003E29D8" w:rsidRDefault="003E29D8" w:rsidP="00682A1A">
      <w:pPr>
        <w:spacing w:after="0" w:line="240" w:lineRule="auto"/>
        <w:jc w:val="center"/>
        <w:rPr>
          <w:rFonts w:ascii="Calibri" w:eastAsia="Calibri" w:hAnsi="Calibri" w:cs="Times New Roman"/>
          <w:b/>
          <w:lang w:val="es-ES"/>
        </w:rPr>
      </w:pPr>
      <w:r w:rsidRPr="003E29D8">
        <w:rPr>
          <w:rFonts w:ascii="Calibri" w:eastAsia="Calibri" w:hAnsi="Calibri" w:cs="Times New Roman"/>
          <w:b/>
          <w:lang w:val="es-ES"/>
        </w:rPr>
        <w:t>CÓMO SUPO DE LA EXISTENCIA DEL BENEFICIO</w:t>
      </w:r>
    </w:p>
    <w:p w:rsidR="00BA1AB3" w:rsidRDefault="009718B7" w:rsidP="00682A1A">
      <w:pPr>
        <w:spacing w:after="0" w:line="240" w:lineRule="auto"/>
        <w:ind w:left="284"/>
        <w:jc w:val="center"/>
        <w:rPr>
          <w:rFonts w:ascii="Calibri" w:eastAsia="Calibri" w:hAnsi="Calibri" w:cs="Times New Roman"/>
          <w:lang w:val="es-ES"/>
        </w:rPr>
      </w:pPr>
      <w:r>
        <w:rPr>
          <w:rFonts w:ascii="Calibri" w:eastAsia="Calibri" w:hAnsi="Calibri" w:cs="Times New Roman"/>
          <w:noProof/>
          <w:lang w:eastAsia="es-CL"/>
        </w:rPr>
        <w:drawing>
          <wp:inline distT="0" distB="0" distL="0" distR="0" wp14:anchorId="1AF5B188">
            <wp:extent cx="4584700" cy="2755900"/>
            <wp:effectExtent l="0" t="0" r="6350"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F636B5" w:rsidRPr="00BD6C11" w:rsidRDefault="00F636B5" w:rsidP="00F636B5">
      <w:pPr>
        <w:spacing w:after="0" w:line="240" w:lineRule="auto"/>
        <w:jc w:val="center"/>
        <w:rPr>
          <w:rFonts w:ascii="Calibri" w:eastAsia="Calibri" w:hAnsi="Calibri" w:cs="Times New Roman"/>
          <w:sz w:val="18"/>
          <w:szCs w:val="18"/>
          <w:lang w:val="es-ES"/>
        </w:rPr>
      </w:pPr>
      <w:r w:rsidRPr="00BD6C11">
        <w:rPr>
          <w:rFonts w:ascii="Calibri" w:eastAsia="Calibri" w:hAnsi="Calibri" w:cs="Times New Roman"/>
          <w:sz w:val="18"/>
          <w:szCs w:val="18"/>
          <w:lang w:val="es-ES"/>
        </w:rPr>
        <w:t>Fuente: Elaboración propia en base a encuesta</w:t>
      </w:r>
      <w:r>
        <w:rPr>
          <w:rFonts w:ascii="Calibri" w:eastAsia="Calibri" w:hAnsi="Calibri" w:cs="Times New Roman"/>
          <w:sz w:val="18"/>
          <w:szCs w:val="18"/>
          <w:lang w:val="es-ES"/>
        </w:rPr>
        <w:t>.</w:t>
      </w:r>
    </w:p>
    <w:p w:rsidR="002B4B64" w:rsidRPr="00F636B5" w:rsidRDefault="002B4B64" w:rsidP="002B4B64">
      <w:pPr>
        <w:pStyle w:val="Prrafodelista"/>
        <w:spacing w:after="0" w:line="240" w:lineRule="auto"/>
        <w:ind w:left="360"/>
        <w:jc w:val="both"/>
        <w:rPr>
          <w:b/>
          <w:lang w:val="es-ES"/>
        </w:rPr>
      </w:pPr>
    </w:p>
    <w:p w:rsidR="00DB6B33" w:rsidRPr="009B6D95" w:rsidRDefault="00DB6B33" w:rsidP="009B6D95">
      <w:pPr>
        <w:pStyle w:val="Ttulo2"/>
      </w:pPr>
      <w:bookmarkStart w:id="16" w:name="_Toc341866717"/>
      <w:r w:rsidRPr="009B6D95">
        <w:t>Acceso laboral a potenciales instituciones receptoras</w:t>
      </w:r>
      <w:bookmarkEnd w:id="16"/>
    </w:p>
    <w:p w:rsidR="002B4B64" w:rsidRDefault="002B4B64" w:rsidP="00682A1A">
      <w:pPr>
        <w:spacing w:after="0" w:line="240" w:lineRule="auto"/>
        <w:jc w:val="both"/>
      </w:pPr>
    </w:p>
    <w:p w:rsidR="00C86B1C" w:rsidRDefault="00C86B1C" w:rsidP="00682A1A">
      <w:pPr>
        <w:spacing w:after="0" w:line="240" w:lineRule="auto"/>
        <w:jc w:val="both"/>
      </w:pPr>
      <w:r>
        <w:t xml:space="preserve">De acuerdo con lo que se puede inferir del título </w:t>
      </w:r>
      <w:r w:rsidR="00E72385">
        <w:t xml:space="preserve">mismo </w:t>
      </w:r>
      <w:r w:rsidR="007C5F4F">
        <w:t>de la L</w:t>
      </w:r>
      <w:r>
        <w:t>ey, de la revisión del mensaje del proyecto presentado por el Ejecutiv</w:t>
      </w:r>
      <w:r w:rsidR="00E72385">
        <w:t>o y</w:t>
      </w:r>
      <w:r>
        <w:t xml:space="preserve"> de las discusiones en el Parlamento que se pueden encontrar en la historia de la </w:t>
      </w:r>
      <w:r w:rsidR="007C5F4F">
        <w:t>L</w:t>
      </w:r>
      <w:r>
        <w:t xml:space="preserve">ey, un efecto –si no el principal– que se podría esperar de la aplicación del instrumento, es el aumento de profesionales y/o técnicos en los municipios </w:t>
      </w:r>
      <w:r w:rsidR="00396C09">
        <w:t xml:space="preserve">y otras organizaciones </w:t>
      </w:r>
      <w:r>
        <w:t>de las comunas más re</w:t>
      </w:r>
      <w:r w:rsidR="00045963">
        <w:t>zagadas del desarrollo del país, que es el objetivo principal de la Ley.</w:t>
      </w:r>
    </w:p>
    <w:p w:rsidR="00045963" w:rsidRDefault="00045963" w:rsidP="00682A1A">
      <w:pPr>
        <w:spacing w:after="0" w:line="240" w:lineRule="auto"/>
        <w:jc w:val="both"/>
      </w:pPr>
    </w:p>
    <w:p w:rsidR="002B4B64" w:rsidRDefault="00E72385" w:rsidP="00682A1A">
      <w:pPr>
        <w:spacing w:after="0" w:line="240" w:lineRule="auto"/>
        <w:jc w:val="both"/>
      </w:pPr>
      <w:r>
        <w:t>E</w:t>
      </w:r>
      <w:r w:rsidR="00396C09">
        <w:t xml:space="preserve">n base a las encuestas y entrevistas, </w:t>
      </w:r>
      <w:r w:rsidR="00C86B1C">
        <w:t>se puede afirmar que en la práctica esto no ha sido así. Por el contrario, lo que ha ocurrido es que se ha premiado la permanencia anua</w:t>
      </w:r>
      <w:r w:rsidR="00396C09">
        <w:t>l</w:t>
      </w:r>
      <w:r w:rsidR="00C86B1C">
        <w:t xml:space="preserve"> y bianual de funcionarios que se </w:t>
      </w:r>
      <w:r w:rsidR="00396C09">
        <w:t xml:space="preserve">habían incorporado a sus instituciones de desempeño </w:t>
      </w:r>
      <w:r w:rsidR="00C86B1C">
        <w:t>antes</w:t>
      </w:r>
      <w:r w:rsidR="00136FD1">
        <w:t xml:space="preserve"> de la existencia del beneficio</w:t>
      </w:r>
      <w:r w:rsidR="00C86B1C">
        <w:t xml:space="preserve"> </w:t>
      </w:r>
      <w:r w:rsidR="00136FD1">
        <w:t>–</w:t>
      </w:r>
      <w:r w:rsidR="00F53BAD">
        <w:t xml:space="preserve">esto </w:t>
      </w:r>
      <w:r w:rsidR="00136FD1">
        <w:t xml:space="preserve">es lo que ocurre en el </w:t>
      </w:r>
      <w:r w:rsidR="00F53BAD" w:rsidRPr="00096E67">
        <w:t>56</w:t>
      </w:r>
      <w:r w:rsidR="007C5F4F">
        <w:t xml:space="preserve"> </w:t>
      </w:r>
      <w:r w:rsidR="00F53BAD" w:rsidRPr="00096E67">
        <w:t xml:space="preserve">% </w:t>
      </w:r>
      <w:r w:rsidR="00136FD1">
        <w:t>de los beneficiarios que respondieron la encuesta–</w:t>
      </w:r>
      <w:r w:rsidR="00F53BAD">
        <w:t xml:space="preserve">, </w:t>
      </w:r>
      <w:r w:rsidR="00C86B1C">
        <w:lastRenderedPageBreak/>
        <w:t xml:space="preserve">e incluso </w:t>
      </w:r>
      <w:r w:rsidR="00396C09">
        <w:t xml:space="preserve">se ha premiado </w:t>
      </w:r>
      <w:r w:rsidR="00C86B1C">
        <w:t>la prolongación del desempeño de antiguos funcionarios</w:t>
      </w:r>
      <w:r w:rsidR="00396C09">
        <w:t xml:space="preserve"> (10 años de antigüedad, por ejemplo)</w:t>
      </w:r>
      <w:r w:rsidR="00C86B1C">
        <w:t>. Esto es, que la ley ha operado como un premio a la permanencia y no como un incent</w:t>
      </w:r>
      <w:r>
        <w:t>ivo a las nuevas contrataciones (e</w:t>
      </w:r>
      <w:r w:rsidR="00136FD1">
        <w:t>l Gráfico Nº 14, más adelante en este informe, ilustra bastante bien este punto</w:t>
      </w:r>
      <w:r>
        <w:t>)</w:t>
      </w:r>
      <w:r w:rsidR="00136FD1">
        <w:t>.</w:t>
      </w:r>
    </w:p>
    <w:p w:rsidR="00136FD1" w:rsidRDefault="00136FD1" w:rsidP="00682A1A">
      <w:pPr>
        <w:spacing w:after="0" w:line="240" w:lineRule="auto"/>
        <w:jc w:val="both"/>
      </w:pPr>
    </w:p>
    <w:p w:rsidR="00C86B1C" w:rsidRDefault="00E72385" w:rsidP="00682A1A">
      <w:pPr>
        <w:spacing w:after="0" w:line="240" w:lineRule="auto"/>
        <w:jc w:val="both"/>
      </w:pPr>
      <w:r>
        <w:t>Además, o</w:t>
      </w:r>
      <w:r w:rsidR="00014E4F">
        <w:t xml:space="preserve">curre </w:t>
      </w:r>
      <w:r w:rsidR="00C86B1C">
        <w:t>que los municipios de las comunas más rezagadas son también los que manejan los menores</w:t>
      </w:r>
      <w:r w:rsidR="002D0E97">
        <w:t xml:space="preserve"> presupuestos, y por más que la ley los libere de la proporción del presupuesto que </w:t>
      </w:r>
      <w:r w:rsidR="002D0E97" w:rsidRPr="00A101CE">
        <w:t xml:space="preserve">pueden destinar a contrataciones (artículo </w:t>
      </w:r>
      <w:r w:rsidR="0020411A" w:rsidRPr="00A101CE">
        <w:t>1º</w:t>
      </w:r>
      <w:r w:rsidR="002D0E97" w:rsidRPr="00D851AA">
        <w:t xml:space="preserve"> </w:t>
      </w:r>
      <w:r w:rsidR="002D0E97" w:rsidRPr="00A101CE">
        <w:t xml:space="preserve">de la Ley Nº </w:t>
      </w:r>
      <w:r w:rsidR="0020411A" w:rsidRPr="00D851AA">
        <w:t>18.294 y artículo 6</w:t>
      </w:r>
      <w:r w:rsidR="00412E57" w:rsidRPr="00D851AA">
        <w:t>7</w:t>
      </w:r>
      <w:r w:rsidR="0020411A" w:rsidRPr="00D851AA">
        <w:t>º</w:t>
      </w:r>
      <w:r w:rsidR="002D0E97" w:rsidRPr="00D851AA">
        <w:t xml:space="preserve"> </w:t>
      </w:r>
      <w:r w:rsidR="002D0E97" w:rsidRPr="00A101CE">
        <w:t xml:space="preserve">de </w:t>
      </w:r>
      <w:r w:rsidR="0020411A" w:rsidRPr="00A101CE">
        <w:t>la Ley Nº</w:t>
      </w:r>
      <w:r w:rsidR="0020411A">
        <w:t xml:space="preserve"> </w:t>
      </w:r>
      <w:r w:rsidR="00A479C4">
        <w:t>18.382</w:t>
      </w:r>
      <w:r w:rsidR="002D0E97">
        <w:t>)</w:t>
      </w:r>
      <w:r w:rsidR="00014E4F">
        <w:t xml:space="preserve">, </w:t>
      </w:r>
      <w:r w:rsidR="000372B5">
        <w:t xml:space="preserve">es muy probable que no </w:t>
      </w:r>
      <w:r w:rsidR="00014E4F">
        <w:t>cuentan con recursos que puedan reorientar a ese fin sin sacrificar otros gastos tanto o más necesarios para la comuna.</w:t>
      </w:r>
    </w:p>
    <w:p w:rsidR="002B4B64" w:rsidRDefault="002B4B64" w:rsidP="00682A1A">
      <w:pPr>
        <w:spacing w:after="0" w:line="240" w:lineRule="auto"/>
        <w:jc w:val="both"/>
      </w:pPr>
    </w:p>
    <w:p w:rsidR="00014E4F" w:rsidRDefault="00014E4F" w:rsidP="00682A1A">
      <w:pPr>
        <w:spacing w:after="0" w:line="240" w:lineRule="auto"/>
        <w:jc w:val="both"/>
      </w:pPr>
      <w:r>
        <w:t>A lo anterior, hay que agregar el escaso conocimiento que, hasta la fecha, ha habido de la ley entre los</w:t>
      </w:r>
      <w:r w:rsidR="00396C09">
        <w:t xml:space="preserve"> profesionales recién egresados e incluso en los propios municipios.</w:t>
      </w:r>
    </w:p>
    <w:p w:rsidR="002B4B64" w:rsidRDefault="002B4B64" w:rsidP="00682A1A">
      <w:pPr>
        <w:spacing w:after="0" w:line="240" w:lineRule="auto"/>
        <w:jc w:val="both"/>
      </w:pPr>
    </w:p>
    <w:p w:rsidR="007C5F4F" w:rsidRDefault="007C5F4F" w:rsidP="00682A1A">
      <w:pPr>
        <w:spacing w:after="0" w:line="240" w:lineRule="auto"/>
        <w:jc w:val="both"/>
      </w:pPr>
      <w:r>
        <w:t>Cabe mencionar que, en el modelo act</w:t>
      </w:r>
      <w:r w:rsidR="005C076B">
        <w:t>ual de incorrecta aplicación de la ley en relación con sus objetivos iniciales (premiando</w:t>
      </w:r>
      <w:r>
        <w:t xml:space="preserve"> </w:t>
      </w:r>
      <w:r w:rsidR="006665C4">
        <w:t xml:space="preserve">a la permanencia de funcionarios antiguos, </w:t>
      </w:r>
      <w:r w:rsidR="005C076B">
        <w:t>más que incentivando</w:t>
      </w:r>
      <w:r w:rsidR="006665C4">
        <w:t xml:space="preserve"> nuevas contrataciones</w:t>
      </w:r>
      <w:r w:rsidR="005C076B">
        <w:t>)</w:t>
      </w:r>
      <w:r>
        <w:t>, hay comunas que no tienen cómo acceder al beneficio, dado que simplemente no cuentan con profesionales que cumplan los requisitos</w:t>
      </w:r>
      <w:r w:rsidR="00E038A4">
        <w:t>, a pesar que esas comunas estén incorporadas en el listado de las potenciales acreedoras de cupos.</w:t>
      </w:r>
    </w:p>
    <w:p w:rsidR="00534B28" w:rsidRDefault="00534B28" w:rsidP="00682A1A">
      <w:pPr>
        <w:spacing w:after="0" w:line="240" w:lineRule="auto"/>
        <w:jc w:val="both"/>
      </w:pPr>
    </w:p>
    <w:p w:rsidR="00383F8B" w:rsidRDefault="00383F8B" w:rsidP="00682A1A">
      <w:pPr>
        <w:spacing w:after="0" w:line="240" w:lineRule="auto"/>
        <w:jc w:val="both"/>
      </w:pPr>
    </w:p>
    <w:p w:rsidR="00500E98" w:rsidRPr="009B6D95" w:rsidRDefault="00500E98" w:rsidP="009B6D95">
      <w:pPr>
        <w:pStyle w:val="Ttulo1"/>
        <w:numPr>
          <w:ilvl w:val="0"/>
          <w:numId w:val="5"/>
        </w:numPr>
      </w:pPr>
      <w:bookmarkStart w:id="17" w:name="_Toc341866718"/>
      <w:r w:rsidRPr="009B6D95">
        <w:t>SATISFACCIÓN DE BENEFICIARIOS</w:t>
      </w:r>
      <w:bookmarkEnd w:id="17"/>
    </w:p>
    <w:p w:rsidR="00500E98" w:rsidRDefault="00500E98" w:rsidP="00500E98">
      <w:pPr>
        <w:spacing w:after="0" w:line="240" w:lineRule="auto"/>
        <w:jc w:val="both"/>
        <w:rPr>
          <w:rFonts w:ascii="Calibri" w:eastAsia="Calibri" w:hAnsi="Calibri" w:cs="Times New Roman"/>
          <w:lang w:val="es-ES"/>
        </w:rPr>
      </w:pPr>
    </w:p>
    <w:p w:rsidR="00500E98" w:rsidRDefault="00500E98" w:rsidP="00500E98">
      <w:pPr>
        <w:spacing w:after="0" w:line="240" w:lineRule="auto"/>
        <w:jc w:val="both"/>
        <w:rPr>
          <w:rFonts w:ascii="Calibri" w:eastAsia="Calibri" w:hAnsi="Calibri" w:cs="Times New Roman"/>
          <w:lang w:val="es-ES"/>
        </w:rPr>
      </w:pPr>
      <w:r>
        <w:rPr>
          <w:rFonts w:ascii="Calibri" w:eastAsia="Calibri" w:hAnsi="Calibri" w:cs="Times New Roman"/>
          <w:lang w:val="es-ES"/>
        </w:rPr>
        <w:t>La satisfacción de los beneficiarios con la aplicación de la Ley Nº 20.330 se midió a través de la encuesta.</w:t>
      </w:r>
    </w:p>
    <w:p w:rsidR="00500E98" w:rsidRDefault="00500E98" w:rsidP="00500E98">
      <w:pPr>
        <w:spacing w:after="0" w:line="240" w:lineRule="auto"/>
        <w:jc w:val="both"/>
        <w:rPr>
          <w:rFonts w:ascii="Calibri" w:eastAsia="Calibri" w:hAnsi="Calibri" w:cs="Times New Roman"/>
          <w:lang w:val="es-ES"/>
        </w:rPr>
      </w:pPr>
    </w:p>
    <w:p w:rsidR="00500E98" w:rsidRPr="009B6D95" w:rsidRDefault="00500E98" w:rsidP="009B6D95">
      <w:pPr>
        <w:pStyle w:val="Ttulo2"/>
      </w:pPr>
      <w:bookmarkStart w:id="18" w:name="_Toc341866719"/>
      <w:r w:rsidRPr="009B6D95">
        <w:t>Aportes generales de la ley</w:t>
      </w:r>
      <w:bookmarkEnd w:id="18"/>
    </w:p>
    <w:p w:rsidR="00500E98" w:rsidRPr="004A0F76" w:rsidRDefault="00500E98" w:rsidP="00500E98">
      <w:pPr>
        <w:spacing w:after="0" w:line="240" w:lineRule="auto"/>
        <w:jc w:val="both"/>
        <w:rPr>
          <w:rFonts w:ascii="Calibri" w:eastAsia="Calibri" w:hAnsi="Calibri" w:cs="Times New Roman"/>
          <w:b/>
          <w:lang w:val="es-ES"/>
        </w:rPr>
      </w:pPr>
    </w:p>
    <w:p w:rsidR="00500E98" w:rsidRDefault="00500E98" w:rsidP="00500E98">
      <w:pPr>
        <w:spacing w:after="0" w:line="240" w:lineRule="auto"/>
        <w:jc w:val="both"/>
        <w:rPr>
          <w:rFonts w:ascii="Calibri" w:eastAsia="Calibri" w:hAnsi="Calibri" w:cs="Times New Roman"/>
          <w:lang w:val="es-ES"/>
        </w:rPr>
      </w:pPr>
      <w:r>
        <w:rPr>
          <w:rFonts w:ascii="Calibri" w:eastAsia="Calibri" w:hAnsi="Calibri" w:cs="Times New Roman"/>
          <w:lang w:val="es-ES"/>
        </w:rPr>
        <w:t xml:space="preserve">En el Gráfico Nº 5 se ve que los encuestados destacan que la </w:t>
      </w:r>
      <w:r w:rsidR="00E038A4">
        <w:rPr>
          <w:rFonts w:ascii="Calibri" w:eastAsia="Calibri" w:hAnsi="Calibri" w:cs="Times New Roman"/>
          <w:lang w:val="es-ES"/>
        </w:rPr>
        <w:t>L</w:t>
      </w:r>
      <w:r>
        <w:rPr>
          <w:rFonts w:ascii="Calibri" w:eastAsia="Calibri" w:hAnsi="Calibri" w:cs="Times New Roman"/>
          <w:lang w:val="es-ES"/>
        </w:rPr>
        <w:t xml:space="preserve">ey es un aporte a las comunas vulnerables, aunque </w:t>
      </w:r>
      <w:r w:rsidR="00E038A4">
        <w:rPr>
          <w:rFonts w:ascii="Calibri" w:eastAsia="Calibri" w:hAnsi="Calibri" w:cs="Times New Roman"/>
          <w:lang w:val="es-ES"/>
        </w:rPr>
        <w:t xml:space="preserve">las respuestas </w:t>
      </w:r>
      <w:r>
        <w:rPr>
          <w:rFonts w:ascii="Calibri" w:eastAsia="Calibri" w:hAnsi="Calibri" w:cs="Times New Roman"/>
          <w:lang w:val="es-ES"/>
        </w:rPr>
        <w:t>están matizadas con la idea de que faltan aún más profesionales para que esos territorios se desarrollen:</w:t>
      </w:r>
    </w:p>
    <w:p w:rsidR="00383F8B" w:rsidRDefault="00383F8B" w:rsidP="00500E98">
      <w:pPr>
        <w:spacing w:after="0" w:line="240" w:lineRule="auto"/>
        <w:jc w:val="both"/>
        <w:rPr>
          <w:rFonts w:ascii="Calibri" w:eastAsia="Calibri" w:hAnsi="Calibri" w:cs="Times New Roman"/>
          <w:lang w:val="es-ES"/>
        </w:rPr>
      </w:pPr>
    </w:p>
    <w:p w:rsidR="00500E98" w:rsidRPr="00C51BA0" w:rsidRDefault="00500E98" w:rsidP="00E038A4">
      <w:pPr>
        <w:spacing w:after="0" w:line="240" w:lineRule="auto"/>
        <w:jc w:val="center"/>
        <w:rPr>
          <w:rFonts w:ascii="Calibri" w:eastAsia="Calibri" w:hAnsi="Calibri" w:cs="Times New Roman"/>
          <w:b/>
          <w:lang w:val="es-ES"/>
        </w:rPr>
      </w:pPr>
      <w:r>
        <w:rPr>
          <w:rFonts w:ascii="Calibri" w:eastAsia="Calibri" w:hAnsi="Calibri" w:cs="Times New Roman"/>
          <w:b/>
          <w:lang w:val="es-ES"/>
        </w:rPr>
        <w:t>GRÁFICO Nº 5</w:t>
      </w:r>
      <w:r w:rsidRPr="00C51BA0">
        <w:rPr>
          <w:rFonts w:ascii="Calibri" w:eastAsia="Calibri" w:hAnsi="Calibri" w:cs="Times New Roman"/>
          <w:b/>
          <w:lang w:val="es-ES"/>
        </w:rPr>
        <w:t>:</w:t>
      </w:r>
    </w:p>
    <w:p w:rsidR="00500E98" w:rsidRPr="00C51BA0" w:rsidRDefault="00500E98" w:rsidP="00500E98">
      <w:pPr>
        <w:spacing w:after="0" w:line="240" w:lineRule="auto"/>
        <w:jc w:val="center"/>
        <w:rPr>
          <w:rFonts w:ascii="Calibri" w:eastAsia="Calibri" w:hAnsi="Calibri" w:cs="Times New Roman"/>
          <w:b/>
          <w:lang w:val="es-ES"/>
        </w:rPr>
      </w:pPr>
      <w:r w:rsidRPr="00C51BA0">
        <w:rPr>
          <w:rFonts w:ascii="Calibri" w:eastAsia="Calibri" w:hAnsi="Calibri" w:cs="Times New Roman"/>
          <w:b/>
          <w:lang w:val="es-ES"/>
        </w:rPr>
        <w:t>¿AYUDA LA LEY AL DESARROLLO DE UNA COMUNA VULNERABLE?</w:t>
      </w:r>
    </w:p>
    <w:p w:rsidR="00500E98" w:rsidRDefault="00500E98" w:rsidP="00500E98">
      <w:pPr>
        <w:spacing w:after="0" w:line="240" w:lineRule="auto"/>
        <w:jc w:val="center"/>
        <w:rPr>
          <w:rFonts w:ascii="Calibri" w:eastAsia="Calibri" w:hAnsi="Calibri" w:cs="Times New Roman"/>
          <w:lang w:val="es-ES"/>
        </w:rPr>
      </w:pPr>
      <w:r>
        <w:rPr>
          <w:rFonts w:ascii="Calibri" w:eastAsia="Calibri" w:hAnsi="Calibri" w:cs="Times New Roman"/>
          <w:noProof/>
          <w:lang w:eastAsia="es-CL"/>
        </w:rPr>
        <w:drawing>
          <wp:inline distT="0" distB="0" distL="0" distR="0" wp14:anchorId="0257A541" wp14:editId="776B59D8">
            <wp:extent cx="4201064" cy="2182483"/>
            <wp:effectExtent l="0" t="0" r="9525" b="27940"/>
            <wp:docPr id="11" name="Gráfico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00E98" w:rsidRPr="00BD6C11" w:rsidRDefault="00500E98" w:rsidP="00500E98">
      <w:pPr>
        <w:spacing w:after="0" w:line="240" w:lineRule="auto"/>
        <w:jc w:val="center"/>
        <w:rPr>
          <w:rFonts w:ascii="Calibri" w:eastAsia="Calibri" w:hAnsi="Calibri" w:cs="Times New Roman"/>
          <w:sz w:val="18"/>
          <w:szCs w:val="18"/>
          <w:lang w:val="es-ES"/>
        </w:rPr>
      </w:pPr>
      <w:r w:rsidRPr="00BD6C11">
        <w:rPr>
          <w:rFonts w:ascii="Calibri" w:eastAsia="Calibri" w:hAnsi="Calibri" w:cs="Times New Roman"/>
          <w:sz w:val="18"/>
          <w:szCs w:val="18"/>
          <w:lang w:val="es-ES"/>
        </w:rPr>
        <w:t>Fuente: Elaboración propia en base a encuesta</w:t>
      </w:r>
      <w:r w:rsidR="00F636B5">
        <w:rPr>
          <w:rFonts w:ascii="Calibri" w:eastAsia="Calibri" w:hAnsi="Calibri" w:cs="Times New Roman"/>
          <w:sz w:val="18"/>
          <w:szCs w:val="18"/>
          <w:lang w:val="es-ES"/>
        </w:rPr>
        <w:t>.</w:t>
      </w:r>
    </w:p>
    <w:p w:rsidR="00500E98" w:rsidRDefault="00500E98" w:rsidP="00500E98">
      <w:pPr>
        <w:spacing w:after="0" w:line="240" w:lineRule="auto"/>
        <w:jc w:val="both"/>
        <w:rPr>
          <w:rFonts w:ascii="Calibri" w:eastAsia="Calibri" w:hAnsi="Calibri" w:cs="Times New Roman"/>
          <w:b/>
          <w:lang w:val="es-ES"/>
        </w:rPr>
      </w:pPr>
    </w:p>
    <w:p w:rsidR="00500E98" w:rsidRDefault="00500E98" w:rsidP="00500E98">
      <w:pPr>
        <w:spacing w:after="0" w:line="240" w:lineRule="auto"/>
        <w:jc w:val="both"/>
        <w:rPr>
          <w:rFonts w:ascii="Calibri" w:eastAsia="Calibri" w:hAnsi="Calibri" w:cs="Times New Roman"/>
          <w:lang w:val="es-ES"/>
        </w:rPr>
      </w:pPr>
      <w:r>
        <w:rPr>
          <w:rFonts w:ascii="Calibri" w:eastAsia="Calibri" w:hAnsi="Calibri" w:cs="Times New Roman"/>
          <w:lang w:val="es-ES"/>
        </w:rPr>
        <w:t>Pero en una virtual contradicción con lo anterior, al preguntárseles por las fortalezas de</w:t>
      </w:r>
      <w:r w:rsidR="00DD3A3E">
        <w:rPr>
          <w:rFonts w:ascii="Calibri" w:eastAsia="Calibri" w:hAnsi="Calibri" w:cs="Times New Roman"/>
          <w:lang w:val="es-ES"/>
        </w:rPr>
        <w:t xml:space="preserve"> </w:t>
      </w:r>
      <w:r>
        <w:rPr>
          <w:rFonts w:ascii="Calibri" w:eastAsia="Calibri" w:hAnsi="Calibri" w:cs="Times New Roman"/>
          <w:lang w:val="es-ES"/>
        </w:rPr>
        <w:t>l</w:t>
      </w:r>
      <w:r w:rsidR="00DD3A3E">
        <w:rPr>
          <w:rFonts w:ascii="Calibri" w:eastAsia="Calibri" w:hAnsi="Calibri" w:cs="Times New Roman"/>
          <w:lang w:val="es-ES"/>
        </w:rPr>
        <w:t>a</w:t>
      </w:r>
      <w:r>
        <w:rPr>
          <w:rFonts w:ascii="Calibri" w:eastAsia="Calibri" w:hAnsi="Calibri" w:cs="Times New Roman"/>
          <w:lang w:val="es-ES"/>
        </w:rPr>
        <w:t xml:space="preserve"> </w:t>
      </w:r>
      <w:r w:rsidR="00DD3A3E">
        <w:rPr>
          <w:rFonts w:ascii="Calibri" w:eastAsia="Calibri" w:hAnsi="Calibri" w:cs="Times New Roman"/>
          <w:lang w:val="es-ES"/>
        </w:rPr>
        <w:t>Ley</w:t>
      </w:r>
      <w:r>
        <w:rPr>
          <w:rFonts w:ascii="Calibri" w:eastAsia="Calibri" w:hAnsi="Calibri" w:cs="Times New Roman"/>
          <w:lang w:val="es-ES"/>
        </w:rPr>
        <w:t>, lo que má</w:t>
      </w:r>
      <w:r w:rsidR="00974CA5">
        <w:rPr>
          <w:rFonts w:ascii="Calibri" w:eastAsia="Calibri" w:hAnsi="Calibri" w:cs="Times New Roman"/>
          <w:lang w:val="es-ES"/>
        </w:rPr>
        <w:t xml:space="preserve">s aparece es el aporte directo </w:t>
      </w:r>
      <w:r>
        <w:rPr>
          <w:rFonts w:ascii="Calibri" w:eastAsia="Calibri" w:hAnsi="Calibri" w:cs="Times New Roman"/>
          <w:lang w:val="es-ES"/>
        </w:rPr>
        <w:t>para los beneficiarios: la ayuda financiera y el alivio sobre su deuda universitaria (38 casos sobre 90); un estímulo para instalarse en comunas de bajo desarrollo (otros 38 casos sobre 90).</w:t>
      </w:r>
    </w:p>
    <w:p w:rsidR="00500E98" w:rsidRPr="00655262" w:rsidRDefault="00500E98" w:rsidP="00500E98">
      <w:pPr>
        <w:spacing w:after="0" w:line="240" w:lineRule="auto"/>
        <w:jc w:val="both"/>
        <w:rPr>
          <w:rFonts w:ascii="Calibri" w:eastAsia="Calibri" w:hAnsi="Calibri" w:cs="Times New Roman"/>
          <w:lang w:val="es-ES"/>
        </w:rPr>
      </w:pPr>
    </w:p>
    <w:p w:rsidR="00500E98" w:rsidRPr="009B6D95" w:rsidRDefault="00500E98" w:rsidP="009B6D95">
      <w:pPr>
        <w:pStyle w:val="Ttulo2"/>
      </w:pPr>
      <w:bookmarkStart w:id="19" w:name="_Toc341866720"/>
      <w:r w:rsidRPr="009B6D95">
        <w:t>Proceso de postulación</w:t>
      </w:r>
      <w:bookmarkEnd w:id="19"/>
    </w:p>
    <w:p w:rsidR="00500E98" w:rsidRPr="004A0F76" w:rsidRDefault="00500E98" w:rsidP="00500E98">
      <w:pPr>
        <w:pStyle w:val="Prrafodelista"/>
        <w:spacing w:after="0" w:line="240" w:lineRule="auto"/>
        <w:ind w:left="360"/>
        <w:jc w:val="both"/>
        <w:rPr>
          <w:rFonts w:ascii="Calibri" w:eastAsia="Calibri" w:hAnsi="Calibri" w:cs="Times New Roman"/>
          <w:lang w:val="es-ES"/>
        </w:rPr>
      </w:pPr>
    </w:p>
    <w:p w:rsidR="00500E98" w:rsidRDefault="00500E98" w:rsidP="00500E98">
      <w:pPr>
        <w:spacing w:after="0" w:line="240" w:lineRule="auto"/>
        <w:jc w:val="both"/>
        <w:rPr>
          <w:rFonts w:ascii="Calibri" w:eastAsia="Calibri" w:hAnsi="Calibri" w:cs="Times New Roman"/>
          <w:lang w:val="es-ES"/>
        </w:rPr>
      </w:pPr>
      <w:r>
        <w:rPr>
          <w:rFonts w:ascii="Calibri" w:eastAsia="Calibri" w:hAnsi="Calibri" w:cs="Times New Roman"/>
          <w:lang w:val="es-ES"/>
        </w:rPr>
        <w:t xml:space="preserve">Respecto a la postulación, los beneficiarios encuestados señalan que el primer año estuvo marcado por el desconocimiento entre todos los actores involucrados; pero indican también que, una vez conocido el proceso, éste es sencillo </w:t>
      </w:r>
      <w:r w:rsidRPr="00F5331E">
        <w:rPr>
          <w:rFonts w:ascii="Calibri" w:eastAsia="Calibri" w:hAnsi="Calibri" w:cs="Times New Roman"/>
          <w:lang w:val="es-ES"/>
        </w:rPr>
        <w:t>(</w:t>
      </w:r>
      <w:r w:rsidR="00A22DED" w:rsidRPr="00F5331E">
        <w:rPr>
          <w:rFonts w:ascii="Calibri" w:eastAsia="Calibri" w:hAnsi="Calibri" w:cs="Times New Roman"/>
          <w:lang w:val="es-ES"/>
        </w:rPr>
        <w:t>78</w:t>
      </w:r>
      <w:r w:rsidRPr="00F5331E">
        <w:rPr>
          <w:rFonts w:ascii="Calibri" w:eastAsia="Calibri" w:hAnsi="Calibri" w:cs="Times New Roman"/>
          <w:lang w:val="es-ES"/>
        </w:rPr>
        <w:t>,</w:t>
      </w:r>
      <w:r w:rsidR="00A22DED" w:rsidRPr="00F5331E">
        <w:rPr>
          <w:rFonts w:ascii="Calibri" w:eastAsia="Calibri" w:hAnsi="Calibri" w:cs="Times New Roman"/>
          <w:lang w:val="es-ES"/>
        </w:rPr>
        <w:t>8</w:t>
      </w:r>
      <w:r w:rsidRPr="00F5331E">
        <w:rPr>
          <w:rFonts w:ascii="Calibri" w:eastAsia="Calibri" w:hAnsi="Calibri" w:cs="Times New Roman"/>
          <w:lang w:val="es-ES"/>
        </w:rPr>
        <w:t xml:space="preserve"> % de las opiniones). </w:t>
      </w:r>
      <w:r>
        <w:rPr>
          <w:rFonts w:ascii="Calibri" w:eastAsia="Calibri" w:hAnsi="Calibri" w:cs="Times New Roman"/>
          <w:lang w:val="es-ES"/>
        </w:rPr>
        <w:t>Hay casos aislados de beneficiarios que manifiestan que su postulación fue una verdadera odisea, lo que normalmente respondió al desconocimiento, aunque en algunos casos fue producto de la mala gestión o los retrasos de alguna de las instituciones involucradas, particularmente algunas universidades. También afecta el aislamiento geográfico del postulante, pero en este caso los encargados regionales pueden ayudar a resolver los problemas: en esta línea, 14,4 % de los encuestados destacan la gestión de esos encargados. Por otro lado, un 61,1 % considera que la comunicación con esos encargados es fluida y eficiente y, por lo demás, éstos son, según indican los encuestados, los únicos interlocutores importantes para ellos en toda la cadena del proceso que empieza con la postulación y termina con la entrega del beneficio.</w:t>
      </w:r>
    </w:p>
    <w:p w:rsidR="00E038A4" w:rsidRDefault="00E038A4" w:rsidP="00E038A4">
      <w:pPr>
        <w:pStyle w:val="Ttulo2"/>
        <w:numPr>
          <w:ilvl w:val="0"/>
          <w:numId w:val="0"/>
        </w:numPr>
        <w:ind w:left="360" w:hanging="360"/>
      </w:pPr>
    </w:p>
    <w:p w:rsidR="00500E98" w:rsidRPr="009B6D95" w:rsidRDefault="00500E98" w:rsidP="009B6D95">
      <w:pPr>
        <w:pStyle w:val="Ttulo2"/>
      </w:pPr>
      <w:bookmarkStart w:id="20" w:name="_Toc341866721"/>
      <w:r w:rsidRPr="009B6D95">
        <w:t>Cargo desempeñado</w:t>
      </w:r>
      <w:bookmarkEnd w:id="20"/>
    </w:p>
    <w:p w:rsidR="00500E98" w:rsidRDefault="00500E98" w:rsidP="00500E98">
      <w:pPr>
        <w:spacing w:after="0" w:line="240" w:lineRule="auto"/>
        <w:jc w:val="both"/>
        <w:rPr>
          <w:lang w:val="es-ES"/>
        </w:rPr>
      </w:pPr>
    </w:p>
    <w:p w:rsidR="00500E98" w:rsidRDefault="00DD3A3E" w:rsidP="00500E98">
      <w:pPr>
        <w:spacing w:after="0" w:line="240" w:lineRule="auto"/>
        <w:jc w:val="both"/>
        <w:rPr>
          <w:lang w:val="es-ES"/>
        </w:rPr>
      </w:pPr>
      <w:r>
        <w:rPr>
          <w:lang w:val="es-ES"/>
        </w:rPr>
        <w:t>U</w:t>
      </w:r>
      <w:r w:rsidR="00500E98">
        <w:rPr>
          <w:lang w:val="es-ES"/>
        </w:rPr>
        <w:t xml:space="preserve">n 93,3 % de los encuestados continuaría trabajando en sus cargos, </w:t>
      </w:r>
      <w:r w:rsidR="00500E98" w:rsidRPr="00501818">
        <w:rPr>
          <w:i/>
          <w:lang w:val="es-ES"/>
        </w:rPr>
        <w:t>después</w:t>
      </w:r>
      <w:r w:rsidR="00500E98">
        <w:rPr>
          <w:lang w:val="es-ES"/>
        </w:rPr>
        <w:t xml:space="preserve"> de recibida la totalidad de los recursos que les entrega la Ley Nº 20.330. Hay que tener en cuenta que muchos de los encuestados se desempeñaban en sus puestos desde antes de hacerse acreedores del beneficio</w:t>
      </w:r>
      <w:r w:rsidR="00974CA5">
        <w:rPr>
          <w:lang w:val="es-ES"/>
        </w:rPr>
        <w:t xml:space="preserve"> (56 % con </w:t>
      </w:r>
      <w:r w:rsidR="00500E98">
        <w:rPr>
          <w:lang w:val="es-ES"/>
        </w:rPr>
        <w:t>más de 3 años en su cargo</w:t>
      </w:r>
      <w:r w:rsidR="00974CA5">
        <w:rPr>
          <w:lang w:val="es-ES"/>
        </w:rPr>
        <w:t>, según se indicó antes)</w:t>
      </w:r>
      <w:r w:rsidR="00500E98">
        <w:rPr>
          <w:lang w:val="es-ES"/>
        </w:rPr>
        <w:t>. Esto es que las motivaciones no tienen necesariamente relación con el beneficio económico</w:t>
      </w:r>
      <w:r w:rsidR="00E038A4">
        <w:rPr>
          <w:lang w:val="es-ES"/>
        </w:rPr>
        <w:t xml:space="preserve"> que establece la Ley Nº 20.330, sino que hay otras motivaciones.</w:t>
      </w:r>
    </w:p>
    <w:p w:rsidR="00500E98" w:rsidRPr="00065523" w:rsidRDefault="00500E98" w:rsidP="00500E98">
      <w:pPr>
        <w:spacing w:after="0" w:line="240" w:lineRule="auto"/>
        <w:jc w:val="both"/>
        <w:rPr>
          <w:lang w:val="es-ES"/>
        </w:rPr>
      </w:pPr>
    </w:p>
    <w:p w:rsidR="00500E98" w:rsidRPr="009B6D95" w:rsidRDefault="00500E98" w:rsidP="009B6D95">
      <w:pPr>
        <w:pStyle w:val="Ttulo2"/>
      </w:pPr>
      <w:bookmarkStart w:id="21" w:name="_Toc341866722"/>
      <w:r w:rsidRPr="009B6D95">
        <w:t>Disponibilidad de cupos</w:t>
      </w:r>
      <w:bookmarkEnd w:id="21"/>
    </w:p>
    <w:p w:rsidR="00500E98" w:rsidRPr="004A0F76" w:rsidRDefault="00500E98" w:rsidP="00500E98">
      <w:pPr>
        <w:spacing w:after="0" w:line="240" w:lineRule="auto"/>
        <w:jc w:val="both"/>
        <w:rPr>
          <w:rFonts w:ascii="Calibri" w:eastAsia="Calibri" w:hAnsi="Calibri" w:cs="Times New Roman"/>
          <w:b/>
          <w:lang w:val="es-ES"/>
        </w:rPr>
      </w:pPr>
    </w:p>
    <w:p w:rsidR="00500E98" w:rsidRDefault="00500E98" w:rsidP="00500E98">
      <w:pPr>
        <w:spacing w:after="0" w:line="240" w:lineRule="auto"/>
        <w:jc w:val="both"/>
        <w:rPr>
          <w:rFonts w:ascii="Calibri" w:eastAsia="Calibri" w:hAnsi="Calibri" w:cs="Times New Roman"/>
          <w:lang w:val="es-ES"/>
        </w:rPr>
      </w:pPr>
      <w:r>
        <w:rPr>
          <w:rFonts w:ascii="Calibri" w:eastAsia="Calibri" w:hAnsi="Calibri" w:cs="Times New Roman"/>
          <w:lang w:val="es-ES"/>
        </w:rPr>
        <w:t>Respecto a los cupos con los cuales cuenta cada región, la mayor parte de los beneficiarios (66,7 %) los considera insuficientes, aunque señalan que hasta el momento, debido a la poca difusión, las postulaciones no han debido ser seleccionadas o priorizadas en la región.</w:t>
      </w:r>
      <w:r w:rsidR="00974CA5">
        <w:rPr>
          <w:rFonts w:ascii="Calibri" w:eastAsia="Calibri" w:hAnsi="Calibri" w:cs="Times New Roman"/>
          <w:lang w:val="es-ES"/>
        </w:rPr>
        <w:t xml:space="preserve"> </w:t>
      </w:r>
      <w:r>
        <w:rPr>
          <w:rFonts w:ascii="Calibri" w:eastAsia="Calibri" w:hAnsi="Calibri" w:cs="Times New Roman"/>
          <w:lang w:val="es-ES"/>
        </w:rPr>
        <w:t xml:space="preserve">Sobre la demanda de cupos, </w:t>
      </w:r>
      <w:r w:rsidR="00974CA5">
        <w:rPr>
          <w:rFonts w:ascii="Calibri" w:eastAsia="Calibri" w:hAnsi="Calibri" w:cs="Times New Roman"/>
          <w:lang w:val="es-ES"/>
        </w:rPr>
        <w:t xml:space="preserve">en todo caso, </w:t>
      </w:r>
      <w:r>
        <w:rPr>
          <w:rFonts w:ascii="Calibri" w:eastAsia="Calibri" w:hAnsi="Calibri" w:cs="Times New Roman"/>
          <w:lang w:val="es-ES"/>
        </w:rPr>
        <w:t xml:space="preserve">es bastante obvio que </w:t>
      </w:r>
      <w:r w:rsidR="00974CA5">
        <w:rPr>
          <w:rFonts w:ascii="Calibri" w:eastAsia="Calibri" w:hAnsi="Calibri" w:cs="Times New Roman"/>
          <w:lang w:val="es-ES"/>
        </w:rPr>
        <w:t>aqué</w:t>
      </w:r>
      <w:r>
        <w:rPr>
          <w:rFonts w:ascii="Calibri" w:eastAsia="Calibri" w:hAnsi="Calibri" w:cs="Times New Roman"/>
          <w:lang w:val="es-ES"/>
        </w:rPr>
        <w:t>llos siempre serán considerados insuficientes cuando el beneficio es en la práctica un subsidio.</w:t>
      </w:r>
    </w:p>
    <w:p w:rsidR="00500E98" w:rsidRDefault="00500E98" w:rsidP="00682A1A">
      <w:pPr>
        <w:spacing w:after="0" w:line="240" w:lineRule="auto"/>
        <w:jc w:val="both"/>
        <w:rPr>
          <w:lang w:val="es-ES"/>
        </w:rPr>
      </w:pPr>
    </w:p>
    <w:p w:rsidR="00500E98" w:rsidRPr="00500E98" w:rsidRDefault="00500E98" w:rsidP="00682A1A">
      <w:pPr>
        <w:spacing w:after="0" w:line="240" w:lineRule="auto"/>
        <w:jc w:val="both"/>
        <w:rPr>
          <w:lang w:val="es-ES"/>
        </w:rPr>
      </w:pPr>
    </w:p>
    <w:p w:rsidR="00C63782" w:rsidRPr="009B6D95" w:rsidRDefault="00C63782" w:rsidP="009B6D95">
      <w:pPr>
        <w:pStyle w:val="Ttulo1"/>
        <w:numPr>
          <w:ilvl w:val="0"/>
          <w:numId w:val="5"/>
        </w:numPr>
      </w:pPr>
      <w:bookmarkStart w:id="22" w:name="_Toc341866723"/>
      <w:r w:rsidRPr="009B6D95">
        <w:t>CARACTERIZACIÓN DE LOS BENEFICIARIOS</w:t>
      </w:r>
      <w:bookmarkEnd w:id="22"/>
    </w:p>
    <w:p w:rsidR="002B4B64" w:rsidRDefault="002B4B64" w:rsidP="00682A1A">
      <w:pPr>
        <w:spacing w:after="0" w:line="240" w:lineRule="auto"/>
        <w:jc w:val="both"/>
      </w:pPr>
    </w:p>
    <w:p w:rsidR="00C63782" w:rsidRDefault="00C63782" w:rsidP="00682A1A">
      <w:pPr>
        <w:spacing w:after="0" w:line="240" w:lineRule="auto"/>
        <w:jc w:val="both"/>
      </w:pPr>
      <w:r w:rsidRPr="00311A5E">
        <w:t xml:space="preserve">A continuación se grafican datos </w:t>
      </w:r>
      <w:r w:rsidR="000B597F">
        <w:t xml:space="preserve">de caracterización </w:t>
      </w:r>
      <w:r w:rsidRPr="00311A5E">
        <w:t xml:space="preserve">de los beneficiarios de </w:t>
      </w:r>
      <w:r w:rsidR="00146DAF">
        <w:t>los dos años con proceso cerrado (2010-2011). La información fue provista por los encargados reg</w:t>
      </w:r>
      <w:r w:rsidR="00E038A4">
        <w:t>ionales de la aplicación de la L</w:t>
      </w:r>
      <w:r w:rsidR="00146DAF">
        <w:t>ey. No siempre se contó con toda la información, pues los registros en regiones no siempre son completos ni contienen los mismos campos de datos.</w:t>
      </w:r>
    </w:p>
    <w:p w:rsidR="00DD3A3E" w:rsidRDefault="00DD3A3E" w:rsidP="00682A1A">
      <w:pPr>
        <w:spacing w:after="0" w:line="240" w:lineRule="auto"/>
        <w:jc w:val="both"/>
      </w:pPr>
    </w:p>
    <w:p w:rsidR="000372B5" w:rsidRDefault="000372B5">
      <w:pPr>
        <w:rPr>
          <w:b/>
        </w:rPr>
      </w:pPr>
      <w:r>
        <w:br w:type="page"/>
      </w:r>
    </w:p>
    <w:p w:rsidR="00C55B61" w:rsidRPr="009B6D95" w:rsidRDefault="00C55B61" w:rsidP="009B6D95">
      <w:pPr>
        <w:pStyle w:val="Ttulo2"/>
      </w:pPr>
      <w:bookmarkStart w:id="23" w:name="_Toc341866724"/>
      <w:r w:rsidRPr="009B6D95">
        <w:lastRenderedPageBreak/>
        <w:t>Institución de titulación</w:t>
      </w:r>
      <w:bookmarkEnd w:id="23"/>
    </w:p>
    <w:p w:rsidR="002B4B64" w:rsidRDefault="002B4B64" w:rsidP="00682A1A">
      <w:pPr>
        <w:spacing w:after="0" w:line="240" w:lineRule="auto"/>
        <w:jc w:val="both"/>
      </w:pPr>
    </w:p>
    <w:p w:rsidR="00146DAF" w:rsidRDefault="00146DAF" w:rsidP="00682A1A">
      <w:pPr>
        <w:spacing w:after="0" w:line="240" w:lineRule="auto"/>
        <w:jc w:val="both"/>
      </w:pPr>
      <w:r>
        <w:t>E</w:t>
      </w:r>
      <w:r w:rsidR="00500E98">
        <w:t>l Gráfico Nº 6</w:t>
      </w:r>
      <w:r>
        <w:t xml:space="preserve"> muestra que la casi totalidad de los beneficiados por la Ley Nº 20.330 </w:t>
      </w:r>
      <w:r w:rsidR="00B65112">
        <w:t>corresponde a</w:t>
      </w:r>
      <w:r>
        <w:t xml:space="preserve"> profesionales egresados de universidades; sólo un caso corresponde a un egresado de un centro de formación técnica.</w:t>
      </w:r>
    </w:p>
    <w:p w:rsidR="002B4B64" w:rsidRDefault="002B4B64" w:rsidP="00682A1A">
      <w:pPr>
        <w:spacing w:after="0" w:line="240" w:lineRule="auto"/>
        <w:jc w:val="both"/>
      </w:pPr>
    </w:p>
    <w:p w:rsidR="00146DAF" w:rsidRDefault="00146DAF" w:rsidP="00682A1A">
      <w:pPr>
        <w:spacing w:after="0" w:line="240" w:lineRule="auto"/>
        <w:jc w:val="both"/>
      </w:pPr>
      <w:r>
        <w:t>Llaman la atención los números de profesionales egresados de universidades de la ciudad de Concepción: Universidad de la Santísima Concepción, Universidad de Concepción</w:t>
      </w:r>
      <w:r w:rsidR="00071E78">
        <w:t xml:space="preserve">, Universidad del Biobío, que en total suman </w:t>
      </w:r>
      <w:r w:rsidR="000372B5">
        <w:t>59</w:t>
      </w:r>
      <w:r w:rsidR="00071E78">
        <w:t xml:space="preserve"> casos. La </w:t>
      </w:r>
      <w:r w:rsidR="000372B5">
        <w:t xml:space="preserve">Universidad de la Frontera (Temuco) y la </w:t>
      </w:r>
      <w:r w:rsidR="00071E78">
        <w:t>Universidad Austral de Chile</w:t>
      </w:r>
      <w:r w:rsidR="000372B5">
        <w:t xml:space="preserve"> (Valdivia), por su parte, concentra 23 y 22 beneficiarios, respectivamente.</w:t>
      </w:r>
    </w:p>
    <w:p w:rsidR="00500E98" w:rsidRDefault="00500E98" w:rsidP="00682A1A">
      <w:pPr>
        <w:spacing w:after="0" w:line="240" w:lineRule="auto"/>
        <w:jc w:val="both"/>
      </w:pPr>
    </w:p>
    <w:p w:rsidR="00146DAF" w:rsidRPr="00146DAF" w:rsidRDefault="00146DAF" w:rsidP="00682A1A">
      <w:pPr>
        <w:spacing w:after="0" w:line="240" w:lineRule="auto"/>
        <w:jc w:val="center"/>
        <w:rPr>
          <w:b/>
        </w:rPr>
      </w:pPr>
      <w:r w:rsidRPr="00146DAF">
        <w:rPr>
          <w:b/>
        </w:rPr>
        <w:t xml:space="preserve">GRÁFICO Nº </w:t>
      </w:r>
      <w:r w:rsidR="00500E98">
        <w:rPr>
          <w:b/>
        </w:rPr>
        <w:t>6</w:t>
      </w:r>
      <w:r w:rsidRPr="00146DAF">
        <w:rPr>
          <w:b/>
        </w:rPr>
        <w:t>:</w:t>
      </w:r>
    </w:p>
    <w:p w:rsidR="00146DAF" w:rsidRPr="00146DAF" w:rsidRDefault="00146DAF" w:rsidP="00682A1A">
      <w:pPr>
        <w:spacing w:after="0" w:line="240" w:lineRule="auto"/>
        <w:jc w:val="center"/>
        <w:rPr>
          <w:b/>
        </w:rPr>
      </w:pPr>
      <w:r w:rsidRPr="00146DAF">
        <w:rPr>
          <w:b/>
        </w:rPr>
        <w:t>UNIVERSIDAD DE EGRESO DE LOS BENEFICIARIOS</w:t>
      </w:r>
    </w:p>
    <w:p w:rsidR="00C63782" w:rsidRDefault="008E03EA" w:rsidP="00682A1A">
      <w:pPr>
        <w:spacing w:after="0" w:line="240" w:lineRule="auto"/>
        <w:jc w:val="center"/>
      </w:pPr>
      <w:r>
        <w:rPr>
          <w:noProof/>
          <w:lang w:eastAsia="es-CL"/>
        </w:rPr>
        <w:drawing>
          <wp:inline distT="0" distB="0" distL="0" distR="0" wp14:anchorId="6C62AC41" wp14:editId="207722E4">
            <wp:extent cx="4572000" cy="2743200"/>
            <wp:effectExtent l="0" t="0" r="19050" b="1905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63782" w:rsidRPr="00146DAF" w:rsidRDefault="00146DAF" w:rsidP="00682A1A">
      <w:pPr>
        <w:spacing w:after="0" w:line="240" w:lineRule="auto"/>
        <w:jc w:val="center"/>
        <w:rPr>
          <w:sz w:val="18"/>
          <w:szCs w:val="18"/>
        </w:rPr>
      </w:pPr>
      <w:r w:rsidRPr="00146DAF">
        <w:rPr>
          <w:sz w:val="18"/>
          <w:szCs w:val="18"/>
        </w:rPr>
        <w:t>Fuente: Elaboración propia a partir de datos de Intendencias</w:t>
      </w:r>
      <w:r>
        <w:rPr>
          <w:sz w:val="18"/>
          <w:szCs w:val="18"/>
        </w:rPr>
        <w:t>.</w:t>
      </w:r>
    </w:p>
    <w:p w:rsidR="002B4B64" w:rsidRDefault="002B4B64" w:rsidP="002B4B64">
      <w:pPr>
        <w:pStyle w:val="Prrafodelista"/>
        <w:spacing w:after="0" w:line="240" w:lineRule="auto"/>
        <w:ind w:left="360"/>
        <w:jc w:val="both"/>
        <w:rPr>
          <w:b/>
        </w:rPr>
      </w:pPr>
    </w:p>
    <w:p w:rsidR="00C55B61" w:rsidRPr="009B6D95" w:rsidRDefault="00C55B61" w:rsidP="009B6D95">
      <w:pPr>
        <w:pStyle w:val="Ttulo2"/>
      </w:pPr>
      <w:bookmarkStart w:id="24" w:name="_Toc341866725"/>
      <w:r w:rsidRPr="009B6D95">
        <w:t>Profesiones</w:t>
      </w:r>
      <w:bookmarkEnd w:id="24"/>
    </w:p>
    <w:p w:rsidR="002B4B64" w:rsidRDefault="002B4B64" w:rsidP="00682A1A">
      <w:pPr>
        <w:spacing w:after="0" w:line="240" w:lineRule="auto"/>
        <w:jc w:val="both"/>
      </w:pPr>
    </w:p>
    <w:p w:rsidR="00B65112" w:rsidRDefault="00500E98" w:rsidP="00682A1A">
      <w:pPr>
        <w:spacing w:after="0" w:line="240" w:lineRule="auto"/>
        <w:jc w:val="both"/>
      </w:pPr>
      <w:r>
        <w:t>El Gráfico Nº 7</w:t>
      </w:r>
      <w:r w:rsidR="00B65112">
        <w:t xml:space="preserve"> expone las profesiones de los beneficiarios. La mayor parte corresponde a asistentes sociales, seguidos de profesores.</w:t>
      </w:r>
    </w:p>
    <w:p w:rsidR="002B4B64" w:rsidRDefault="002B4B64" w:rsidP="00682A1A">
      <w:pPr>
        <w:spacing w:after="0" w:line="240" w:lineRule="auto"/>
        <w:jc w:val="both"/>
      </w:pPr>
    </w:p>
    <w:p w:rsidR="008E03EA" w:rsidRDefault="00B65112" w:rsidP="00682A1A">
      <w:pPr>
        <w:spacing w:after="0" w:line="240" w:lineRule="auto"/>
        <w:jc w:val="both"/>
      </w:pPr>
      <w:r>
        <w:t>El de los profesores es un caso interesante</w:t>
      </w:r>
      <w:r w:rsidR="008E03EA">
        <w:t xml:space="preserve"> (24 casos)</w:t>
      </w:r>
      <w:r>
        <w:t xml:space="preserve">, pues lo normal es que éstos se desempeñen en escuelas o liceos y no en el </w:t>
      </w:r>
      <w:r w:rsidR="00E038A4">
        <w:t>M</w:t>
      </w:r>
      <w:r>
        <w:t>unicipio mismo. Cabe preguntarse si la intención de reforzar la capacidad técnica en las comunas de menor desarrollo pasa efectivamente por contratar o mantener más profesores en sus establecimientos educacionales, o si este es un efecto no previsto de la ausencia de mayores precisiones en el te</w:t>
      </w:r>
      <w:r w:rsidR="00E038A4">
        <w:t>xto de la L</w:t>
      </w:r>
      <w:r>
        <w:t>ey.</w:t>
      </w:r>
      <w:r w:rsidR="00E038A4">
        <w:t xml:space="preserve"> Lo c</w:t>
      </w:r>
      <w:r w:rsidR="000B597F">
        <w:t>onse</w:t>
      </w:r>
      <w:r w:rsidR="00E038A4">
        <w:t>cuente con los objetivos del instrumento</w:t>
      </w:r>
      <w:r w:rsidR="000B597F">
        <w:t>, sería dotar a los municipios</w:t>
      </w:r>
      <w:r w:rsidR="002B01E7">
        <w:t xml:space="preserve"> de profesionales dedicados a la</w:t>
      </w:r>
      <w:r>
        <w:t xml:space="preserve"> </w:t>
      </w:r>
      <w:r w:rsidR="002B01E7" w:rsidRPr="00E038A4">
        <w:rPr>
          <w:i/>
        </w:rPr>
        <w:t>formulación</w:t>
      </w:r>
      <w:r w:rsidRPr="00E038A4">
        <w:rPr>
          <w:i/>
        </w:rPr>
        <w:t xml:space="preserve"> </w:t>
      </w:r>
      <w:r w:rsidR="002B01E7" w:rsidRPr="00E038A4">
        <w:rPr>
          <w:i/>
        </w:rPr>
        <w:t>de proyectos</w:t>
      </w:r>
      <w:r w:rsidR="000A1E83">
        <w:t xml:space="preserve"> (con la salvedad de los del área de la salud)</w:t>
      </w:r>
      <w:r>
        <w:t xml:space="preserve">, </w:t>
      </w:r>
      <w:r w:rsidR="000B597F">
        <w:t xml:space="preserve">esto es que deberíamos encontrar </w:t>
      </w:r>
      <w:r w:rsidR="002B01E7">
        <w:t xml:space="preserve">más </w:t>
      </w:r>
      <w:r w:rsidR="00E038A4">
        <w:t>ingenieros de diversas áreas,</w:t>
      </w:r>
      <w:r w:rsidR="008E03EA">
        <w:t xml:space="preserve"> profesionales del área de la construcción o de la planificación territorial</w:t>
      </w:r>
      <w:r w:rsidR="00E038A4">
        <w:t>,</w:t>
      </w:r>
      <w:r w:rsidR="008E03EA">
        <w:t xml:space="preserve"> profesionales del </w:t>
      </w:r>
      <w:r w:rsidR="000B597F">
        <w:t>área de la administración</w:t>
      </w:r>
      <w:r w:rsidR="00E038A4">
        <w:t>,</w:t>
      </w:r>
      <w:r w:rsidR="000B597F">
        <w:t xml:space="preserve"> etc., y no tantos profesores, ni </w:t>
      </w:r>
      <w:r w:rsidR="00E038A4">
        <w:t>menos</w:t>
      </w:r>
      <w:r w:rsidR="000B597F">
        <w:t xml:space="preserve"> localizados en escuelas y liceos.</w:t>
      </w:r>
      <w:r w:rsidR="008E03EA">
        <w:t xml:space="preserve"> </w:t>
      </w:r>
      <w:r w:rsidR="000B597F">
        <w:t>En los hechos, l</w:t>
      </w:r>
      <w:r w:rsidR="008E03EA">
        <w:t xml:space="preserve">a suma de ingenieros, arquitectos, constructores civiles, técnico en obras civiles, administradores (esta selección de profesiones es bastante arbitraria, pero en general no hay un criterio preciso que permita afinarla) que podrían </w:t>
      </w:r>
      <w:r w:rsidR="008E03EA">
        <w:lastRenderedPageBreak/>
        <w:t>considerarse adecuados para la tarea de generar proyectos es de alrededor de 70, esto es menos de la mitad del total.</w:t>
      </w:r>
    </w:p>
    <w:p w:rsidR="002B4B64" w:rsidRDefault="002B4B64" w:rsidP="00682A1A">
      <w:pPr>
        <w:spacing w:after="0" w:line="240" w:lineRule="auto"/>
        <w:jc w:val="both"/>
      </w:pPr>
    </w:p>
    <w:p w:rsidR="008E03EA" w:rsidRDefault="00575FF8" w:rsidP="00682A1A">
      <w:pPr>
        <w:spacing w:after="0" w:line="240" w:lineRule="auto"/>
        <w:jc w:val="both"/>
      </w:pPr>
      <w:r>
        <w:t>H</w:t>
      </w:r>
      <w:r w:rsidR="008E03EA">
        <w:t>ay una serie de otras profesiones que podrían ser pertinentes para mejorar la capacidad técnica en l</w:t>
      </w:r>
      <w:r>
        <w:t>as comunas con menor desarrollo, pero no estará de más preguntarse por el criterio que podría aplicarse para focalizar en ciertas áreas disciplinarias, porque lo probable es que no todas las comunas requieran el mismo tipo de profesional ni tampoco cualquier profesional.</w:t>
      </w:r>
    </w:p>
    <w:p w:rsidR="002B4B64" w:rsidRDefault="002B4B64" w:rsidP="00682A1A">
      <w:pPr>
        <w:spacing w:after="0" w:line="240" w:lineRule="auto"/>
        <w:jc w:val="both"/>
      </w:pPr>
    </w:p>
    <w:p w:rsidR="00C63782" w:rsidRPr="008E03EA" w:rsidRDefault="00575FF8" w:rsidP="00682A1A">
      <w:pPr>
        <w:spacing w:after="0" w:line="240" w:lineRule="auto"/>
        <w:jc w:val="center"/>
        <w:rPr>
          <w:b/>
        </w:rPr>
      </w:pPr>
      <w:r>
        <w:rPr>
          <w:b/>
        </w:rPr>
        <w:t>G</w:t>
      </w:r>
      <w:r w:rsidR="00500E98">
        <w:rPr>
          <w:b/>
        </w:rPr>
        <w:t>RÁFICO Nº 7</w:t>
      </w:r>
      <w:r w:rsidR="00B65112" w:rsidRPr="008E03EA">
        <w:rPr>
          <w:b/>
        </w:rPr>
        <w:t>:</w:t>
      </w:r>
    </w:p>
    <w:p w:rsidR="00B65112" w:rsidRPr="008E03EA" w:rsidRDefault="00B65112" w:rsidP="00682A1A">
      <w:pPr>
        <w:spacing w:after="0" w:line="240" w:lineRule="auto"/>
        <w:jc w:val="center"/>
        <w:rPr>
          <w:b/>
        </w:rPr>
      </w:pPr>
      <w:r w:rsidRPr="008E03EA">
        <w:rPr>
          <w:b/>
        </w:rPr>
        <w:t>PROFESIONES DE LOS BENEFICIARIOS</w:t>
      </w:r>
    </w:p>
    <w:p w:rsidR="00C63782" w:rsidRDefault="00575FF8" w:rsidP="00682A1A">
      <w:pPr>
        <w:spacing w:after="0" w:line="240" w:lineRule="auto"/>
        <w:jc w:val="center"/>
        <w:rPr>
          <w:b/>
        </w:rPr>
      </w:pPr>
      <w:r>
        <w:rPr>
          <w:noProof/>
          <w:lang w:eastAsia="es-CL"/>
        </w:rPr>
        <w:drawing>
          <wp:inline distT="0" distB="0" distL="0" distR="0" wp14:anchorId="15824040" wp14:editId="40E78C4D">
            <wp:extent cx="5124450" cy="2743200"/>
            <wp:effectExtent l="0" t="0" r="19050" b="1905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63782" w:rsidRPr="00575FF8" w:rsidRDefault="00575FF8" w:rsidP="00682A1A">
      <w:pPr>
        <w:spacing w:after="0" w:line="240" w:lineRule="auto"/>
        <w:jc w:val="center"/>
        <w:rPr>
          <w:sz w:val="18"/>
          <w:szCs w:val="18"/>
        </w:rPr>
      </w:pPr>
      <w:r w:rsidRPr="00575FF8">
        <w:rPr>
          <w:sz w:val="18"/>
          <w:szCs w:val="18"/>
        </w:rPr>
        <w:t xml:space="preserve">Fuente: Elaboración propia </w:t>
      </w:r>
      <w:r w:rsidR="00F636B5">
        <w:rPr>
          <w:sz w:val="18"/>
          <w:szCs w:val="18"/>
        </w:rPr>
        <w:t>a partir de datos de</w:t>
      </w:r>
      <w:r w:rsidRPr="00575FF8">
        <w:rPr>
          <w:sz w:val="18"/>
          <w:szCs w:val="18"/>
        </w:rPr>
        <w:t xml:space="preserve"> Intendencias</w:t>
      </w:r>
      <w:r w:rsidR="00F636B5">
        <w:rPr>
          <w:sz w:val="18"/>
          <w:szCs w:val="18"/>
        </w:rPr>
        <w:t>.</w:t>
      </w:r>
    </w:p>
    <w:p w:rsidR="00471531" w:rsidRDefault="00471531" w:rsidP="00682A1A">
      <w:pPr>
        <w:spacing w:after="0" w:line="240" w:lineRule="auto"/>
        <w:jc w:val="both"/>
        <w:rPr>
          <w:rFonts w:ascii="Calibri" w:eastAsia="Calibri" w:hAnsi="Calibri" w:cs="Times New Roman"/>
          <w:lang w:val="es-ES"/>
        </w:rPr>
      </w:pPr>
    </w:p>
    <w:p w:rsidR="00C55B61" w:rsidRPr="009B6D95" w:rsidRDefault="00C55B61" w:rsidP="009B6D95">
      <w:pPr>
        <w:pStyle w:val="Ttulo2"/>
      </w:pPr>
      <w:bookmarkStart w:id="25" w:name="_Toc341866726"/>
      <w:r w:rsidRPr="009B6D95">
        <w:t>Áreas de desempeño</w:t>
      </w:r>
      <w:bookmarkEnd w:id="25"/>
    </w:p>
    <w:p w:rsidR="002B4B64" w:rsidRDefault="002B4B64" w:rsidP="00682A1A">
      <w:pPr>
        <w:spacing w:after="0" w:line="240" w:lineRule="auto"/>
        <w:jc w:val="both"/>
      </w:pPr>
    </w:p>
    <w:p w:rsidR="00BD2704" w:rsidRDefault="00471531" w:rsidP="00682A1A">
      <w:pPr>
        <w:spacing w:after="0" w:line="240" w:lineRule="auto"/>
        <w:jc w:val="both"/>
        <w:rPr>
          <w:lang w:val="es-ES"/>
        </w:rPr>
      </w:pPr>
      <w:r>
        <w:t>Lamentablemente</w:t>
      </w:r>
      <w:r w:rsidR="00BD2704">
        <w:t>, l</w:t>
      </w:r>
      <w:r>
        <w:t xml:space="preserve">a información </w:t>
      </w:r>
      <w:r w:rsidR="00BD2704">
        <w:t xml:space="preserve">sobre las áreas en que se desempeñan o se han desempeñado los beneficiarios de la ley no está disponible en las intendencias, por lo que sólo se cuenta con lo </w:t>
      </w:r>
      <w:r w:rsidR="00787384">
        <w:t>que informan los 90 encuestados</w:t>
      </w:r>
      <w:r w:rsidR="000B597F">
        <w:t>.</w:t>
      </w:r>
      <w:r w:rsidR="000A1E83">
        <w:t xml:space="preserve"> </w:t>
      </w:r>
      <w:r w:rsidR="00BD2704">
        <w:t xml:space="preserve">Luego, los datos </w:t>
      </w:r>
      <w:r w:rsidR="009A5A92">
        <w:t xml:space="preserve">siguientes </w:t>
      </w:r>
      <w:r>
        <w:t>no necesariamente son estadísticamente representativos.</w:t>
      </w:r>
      <w:r w:rsidR="00BD2704">
        <w:t xml:space="preserve"> Por lo demás, la información fue recogida a través de una pregunta de respuesta abierta: “</w:t>
      </w:r>
      <w:r w:rsidR="00BD2704" w:rsidRPr="00380375">
        <w:rPr>
          <w:lang w:val="es-ES"/>
        </w:rPr>
        <w:t>¿Cuáles so</w:t>
      </w:r>
      <w:r w:rsidR="00BD2704">
        <w:rPr>
          <w:lang w:val="es-ES"/>
        </w:rPr>
        <w:t>n las tareas que realiza/realizó</w:t>
      </w:r>
      <w:r w:rsidR="00BD2704" w:rsidRPr="00380375">
        <w:rPr>
          <w:lang w:val="es-ES"/>
        </w:rPr>
        <w:t xml:space="preserve"> en la Institución (Municipio u otra)?</w:t>
      </w:r>
      <w:r w:rsidR="00BD2704">
        <w:rPr>
          <w:lang w:val="es-ES"/>
        </w:rPr>
        <w:t>”</w:t>
      </w:r>
    </w:p>
    <w:p w:rsidR="002B4B64" w:rsidRPr="00380375" w:rsidRDefault="002B4B64" w:rsidP="00682A1A">
      <w:pPr>
        <w:spacing w:after="0" w:line="240" w:lineRule="auto"/>
        <w:jc w:val="both"/>
        <w:rPr>
          <w:lang w:val="es-ES"/>
        </w:rPr>
      </w:pPr>
    </w:p>
    <w:p w:rsidR="00BD2704" w:rsidRPr="00380375" w:rsidRDefault="00BD2704" w:rsidP="00682A1A">
      <w:pPr>
        <w:spacing w:after="0" w:line="240" w:lineRule="auto"/>
        <w:jc w:val="both"/>
        <w:rPr>
          <w:lang w:val="es-ES"/>
        </w:rPr>
      </w:pPr>
      <w:r>
        <w:rPr>
          <w:lang w:val="es-ES"/>
        </w:rPr>
        <w:t>Los resultados se simplifican en los siguiente</w:t>
      </w:r>
      <w:r w:rsidR="002B4B64">
        <w:rPr>
          <w:lang w:val="es-ES"/>
        </w:rPr>
        <w:t>s</w:t>
      </w:r>
      <w:r>
        <w:rPr>
          <w:lang w:val="es-ES"/>
        </w:rPr>
        <w:t xml:space="preserve"> gráficos</w:t>
      </w:r>
      <w:r w:rsidR="002B4B64">
        <w:rPr>
          <w:lang w:val="es-ES"/>
        </w:rPr>
        <w:t xml:space="preserve"> y cuadro</w:t>
      </w:r>
      <w:r>
        <w:rPr>
          <w:lang w:val="es-ES"/>
        </w:rPr>
        <w:t>, agregando por área de trabajo.</w:t>
      </w:r>
      <w:r w:rsidRPr="00380375">
        <w:rPr>
          <w:lang w:val="es-ES"/>
        </w:rPr>
        <w:t xml:space="preserve"> </w:t>
      </w:r>
    </w:p>
    <w:p w:rsidR="00BD2704" w:rsidRPr="00380375" w:rsidRDefault="00BD2704" w:rsidP="00682A1A">
      <w:pPr>
        <w:spacing w:after="0" w:line="240" w:lineRule="auto"/>
        <w:ind w:left="284"/>
        <w:jc w:val="both"/>
        <w:rPr>
          <w:lang w:val="es-ES"/>
        </w:rPr>
      </w:pPr>
    </w:p>
    <w:p w:rsidR="00BD2704" w:rsidRDefault="003508BE" w:rsidP="00682A1A">
      <w:pPr>
        <w:spacing w:after="0" w:line="240" w:lineRule="auto"/>
        <w:jc w:val="both"/>
        <w:rPr>
          <w:lang w:val="es-ES"/>
        </w:rPr>
      </w:pPr>
      <w:r>
        <w:rPr>
          <w:lang w:val="es-ES"/>
        </w:rPr>
        <w:t>E</w:t>
      </w:r>
      <w:r w:rsidR="00BD2704" w:rsidRPr="00380375">
        <w:rPr>
          <w:lang w:val="es-ES"/>
        </w:rPr>
        <w:t xml:space="preserve">l </w:t>
      </w:r>
      <w:r w:rsidR="00BD2704">
        <w:rPr>
          <w:lang w:val="es-ES"/>
        </w:rPr>
        <w:t xml:space="preserve">25,5 </w:t>
      </w:r>
      <w:r w:rsidR="00BD2704" w:rsidRPr="00380375">
        <w:rPr>
          <w:lang w:val="es-ES"/>
        </w:rPr>
        <w:t xml:space="preserve">% </w:t>
      </w:r>
      <w:r w:rsidR="00937A35">
        <w:rPr>
          <w:lang w:val="es-ES"/>
        </w:rPr>
        <w:t>(23</w:t>
      </w:r>
      <w:r w:rsidR="00BD2704">
        <w:rPr>
          <w:lang w:val="es-ES"/>
        </w:rPr>
        <w:t xml:space="preserve"> casos) </w:t>
      </w:r>
      <w:r w:rsidR="00BD2704" w:rsidRPr="00380375">
        <w:rPr>
          <w:lang w:val="es-ES"/>
        </w:rPr>
        <w:t xml:space="preserve">trabaja </w:t>
      </w:r>
      <w:r w:rsidR="00BD2704">
        <w:rPr>
          <w:lang w:val="es-ES"/>
        </w:rPr>
        <w:t xml:space="preserve">o trabajó </w:t>
      </w:r>
      <w:r w:rsidR="00BD2704" w:rsidRPr="00380375">
        <w:rPr>
          <w:lang w:val="es-ES"/>
        </w:rPr>
        <w:t xml:space="preserve">en </w:t>
      </w:r>
      <w:r w:rsidR="00BD2704">
        <w:rPr>
          <w:lang w:val="es-ES"/>
        </w:rPr>
        <w:t>el área</w:t>
      </w:r>
      <w:r w:rsidR="00BD2704" w:rsidRPr="00380375">
        <w:rPr>
          <w:lang w:val="es-ES"/>
        </w:rPr>
        <w:t xml:space="preserve"> </w:t>
      </w:r>
      <w:r w:rsidR="00BD2704">
        <w:rPr>
          <w:lang w:val="es-ES"/>
        </w:rPr>
        <w:t xml:space="preserve">social: </w:t>
      </w:r>
      <w:r w:rsidR="00BD2704" w:rsidRPr="00380375">
        <w:rPr>
          <w:lang w:val="es-ES"/>
        </w:rPr>
        <w:t>proyectos sociales, desarrollo</w:t>
      </w:r>
      <w:r w:rsidR="00BD2704">
        <w:rPr>
          <w:lang w:val="es-ES"/>
        </w:rPr>
        <w:t xml:space="preserve"> comunitario, apoyo a la mujer. El gráfico siguiente desglosa las respuestas:</w:t>
      </w:r>
    </w:p>
    <w:p w:rsidR="00BD2704" w:rsidRDefault="00BD2704" w:rsidP="00682A1A">
      <w:pPr>
        <w:spacing w:after="0" w:line="240" w:lineRule="auto"/>
        <w:ind w:left="284"/>
        <w:jc w:val="both"/>
        <w:rPr>
          <w:lang w:val="es-ES"/>
        </w:rPr>
      </w:pPr>
    </w:p>
    <w:p w:rsidR="000372B5" w:rsidRDefault="000372B5">
      <w:pPr>
        <w:rPr>
          <w:b/>
          <w:lang w:val="es-ES"/>
        </w:rPr>
      </w:pPr>
      <w:r>
        <w:rPr>
          <w:b/>
          <w:lang w:val="es-ES"/>
        </w:rPr>
        <w:br w:type="page"/>
      </w:r>
    </w:p>
    <w:p w:rsidR="00BD2704" w:rsidRPr="002B4B64" w:rsidRDefault="002B4B64" w:rsidP="002B4B64">
      <w:pPr>
        <w:spacing w:after="0" w:line="240" w:lineRule="auto"/>
        <w:ind w:left="284"/>
        <w:jc w:val="center"/>
        <w:rPr>
          <w:b/>
          <w:lang w:val="es-ES"/>
        </w:rPr>
      </w:pPr>
      <w:r w:rsidRPr="002B4B64">
        <w:rPr>
          <w:b/>
          <w:lang w:val="es-ES"/>
        </w:rPr>
        <w:lastRenderedPageBreak/>
        <w:t xml:space="preserve">GRÁFICO Nº </w:t>
      </w:r>
      <w:r w:rsidR="00500E98">
        <w:rPr>
          <w:b/>
          <w:lang w:val="es-ES"/>
        </w:rPr>
        <w:t>8</w:t>
      </w:r>
      <w:r>
        <w:rPr>
          <w:b/>
          <w:lang w:val="es-ES"/>
        </w:rPr>
        <w:t>:</w:t>
      </w:r>
    </w:p>
    <w:p w:rsidR="002B4B64" w:rsidRPr="002B4B64" w:rsidRDefault="002B4B64" w:rsidP="002B4B64">
      <w:pPr>
        <w:spacing w:after="0" w:line="240" w:lineRule="auto"/>
        <w:ind w:left="284"/>
        <w:jc w:val="center"/>
        <w:rPr>
          <w:b/>
          <w:lang w:val="es-ES"/>
        </w:rPr>
      </w:pPr>
      <w:r w:rsidRPr="002B4B64">
        <w:rPr>
          <w:b/>
          <w:lang w:val="es-ES"/>
        </w:rPr>
        <w:t>DESEMPEÑO EN ÁREA SOCIAL</w:t>
      </w:r>
      <w:r w:rsidR="003508BE">
        <w:rPr>
          <w:b/>
          <w:lang w:val="es-ES"/>
        </w:rPr>
        <w:t xml:space="preserve"> (23 CASOS DE 90)</w:t>
      </w:r>
    </w:p>
    <w:p w:rsidR="00BD2704" w:rsidRDefault="00BD2704" w:rsidP="00682A1A">
      <w:pPr>
        <w:spacing w:after="0" w:line="240" w:lineRule="auto"/>
        <w:ind w:left="284"/>
        <w:jc w:val="center"/>
        <w:rPr>
          <w:lang w:val="es-ES"/>
        </w:rPr>
      </w:pPr>
      <w:r>
        <w:rPr>
          <w:noProof/>
          <w:lang w:eastAsia="es-CL"/>
        </w:rPr>
        <w:drawing>
          <wp:inline distT="0" distB="0" distL="0" distR="0" wp14:anchorId="0DFE3088" wp14:editId="6B987A9D">
            <wp:extent cx="3027872" cy="1837427"/>
            <wp:effectExtent l="0" t="0" r="20320" b="10795"/>
            <wp:docPr id="15" name="Gráfico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D2704" w:rsidRPr="002B4B64" w:rsidRDefault="002B4B64" w:rsidP="002B4B64">
      <w:pPr>
        <w:spacing w:after="0" w:line="240" w:lineRule="auto"/>
        <w:ind w:left="284"/>
        <w:jc w:val="center"/>
        <w:rPr>
          <w:sz w:val="18"/>
          <w:szCs w:val="18"/>
          <w:lang w:val="es-ES"/>
        </w:rPr>
      </w:pPr>
      <w:r w:rsidRPr="002B4B64">
        <w:rPr>
          <w:sz w:val="18"/>
          <w:szCs w:val="18"/>
          <w:lang w:val="es-ES"/>
        </w:rPr>
        <w:t xml:space="preserve">Fuente: </w:t>
      </w:r>
      <w:r w:rsidR="00F636B5">
        <w:rPr>
          <w:sz w:val="18"/>
          <w:szCs w:val="18"/>
          <w:lang w:val="es-ES"/>
        </w:rPr>
        <w:t>Elaboración propia en base a e</w:t>
      </w:r>
      <w:r w:rsidRPr="002B4B64">
        <w:rPr>
          <w:sz w:val="18"/>
          <w:szCs w:val="18"/>
          <w:lang w:val="es-ES"/>
        </w:rPr>
        <w:t>ncuesta</w:t>
      </w:r>
      <w:r w:rsidR="00F636B5">
        <w:rPr>
          <w:sz w:val="18"/>
          <w:szCs w:val="18"/>
          <w:lang w:val="es-ES"/>
        </w:rPr>
        <w:t>.</w:t>
      </w:r>
    </w:p>
    <w:p w:rsidR="00BD2704" w:rsidRDefault="00BD2704" w:rsidP="00682A1A">
      <w:pPr>
        <w:spacing w:after="0" w:line="240" w:lineRule="auto"/>
        <w:ind w:left="284"/>
        <w:jc w:val="both"/>
        <w:rPr>
          <w:lang w:val="es-ES"/>
        </w:rPr>
      </w:pPr>
    </w:p>
    <w:p w:rsidR="00BD2704" w:rsidRDefault="00BD2704" w:rsidP="0002588C">
      <w:pPr>
        <w:spacing w:after="0" w:line="240" w:lineRule="auto"/>
        <w:jc w:val="both"/>
        <w:rPr>
          <w:lang w:val="es-ES"/>
        </w:rPr>
      </w:pPr>
      <w:r>
        <w:rPr>
          <w:lang w:val="es-ES"/>
        </w:rPr>
        <w:t xml:space="preserve">Un 16,6 % (15 casos) indican desempeño en </w:t>
      </w:r>
      <w:r w:rsidRPr="00380375">
        <w:rPr>
          <w:lang w:val="es-ES"/>
        </w:rPr>
        <w:t xml:space="preserve">tareas que tienen que ver con la gestión </w:t>
      </w:r>
      <w:r>
        <w:rPr>
          <w:lang w:val="es-ES"/>
        </w:rPr>
        <w:t>propiamente municipal:</w:t>
      </w:r>
      <w:r w:rsidRPr="00380375">
        <w:rPr>
          <w:lang w:val="es-ES"/>
        </w:rPr>
        <w:t xml:space="preserve"> finanzas</w:t>
      </w:r>
      <w:r>
        <w:rPr>
          <w:lang w:val="es-ES"/>
        </w:rPr>
        <w:t xml:space="preserve">, adquisiciones, </w:t>
      </w:r>
      <w:r w:rsidRPr="00380375">
        <w:rPr>
          <w:lang w:val="es-ES"/>
        </w:rPr>
        <w:t>administración y temas legales</w:t>
      </w:r>
      <w:r>
        <w:rPr>
          <w:lang w:val="es-ES"/>
        </w:rPr>
        <w:t>.</w:t>
      </w:r>
    </w:p>
    <w:p w:rsidR="00BD2704" w:rsidRDefault="00BD2704" w:rsidP="00682A1A">
      <w:pPr>
        <w:spacing w:after="0" w:line="240" w:lineRule="auto"/>
        <w:ind w:left="284"/>
        <w:jc w:val="both"/>
        <w:rPr>
          <w:lang w:val="es-ES"/>
        </w:rPr>
      </w:pPr>
    </w:p>
    <w:p w:rsidR="00BD2704" w:rsidRPr="002B4B64" w:rsidRDefault="002B4B64" w:rsidP="002B4B64">
      <w:pPr>
        <w:spacing w:after="0" w:line="240" w:lineRule="auto"/>
        <w:ind w:left="284"/>
        <w:jc w:val="center"/>
        <w:rPr>
          <w:b/>
          <w:lang w:val="es-ES"/>
        </w:rPr>
      </w:pPr>
      <w:r w:rsidRPr="002B4B64">
        <w:rPr>
          <w:b/>
          <w:lang w:val="es-ES"/>
        </w:rPr>
        <w:t xml:space="preserve">GRÁFICO Nº </w:t>
      </w:r>
      <w:r w:rsidR="00500E98">
        <w:rPr>
          <w:b/>
          <w:lang w:val="es-ES"/>
        </w:rPr>
        <w:t>9</w:t>
      </w:r>
      <w:r w:rsidRPr="002B4B64">
        <w:rPr>
          <w:b/>
          <w:lang w:val="es-ES"/>
        </w:rPr>
        <w:t>:</w:t>
      </w:r>
    </w:p>
    <w:p w:rsidR="002B4B64" w:rsidRPr="002B4B64" w:rsidRDefault="002B4B64" w:rsidP="002B4B64">
      <w:pPr>
        <w:spacing w:after="0" w:line="240" w:lineRule="auto"/>
        <w:ind w:left="284"/>
        <w:jc w:val="center"/>
        <w:rPr>
          <w:b/>
          <w:lang w:val="es-ES"/>
        </w:rPr>
      </w:pPr>
      <w:r w:rsidRPr="002B4B64">
        <w:rPr>
          <w:b/>
          <w:lang w:val="es-ES"/>
        </w:rPr>
        <w:t>DESEMPEÑO EN GESTIÓN MUNICIPAL</w:t>
      </w:r>
      <w:r w:rsidR="003508BE">
        <w:rPr>
          <w:b/>
          <w:lang w:val="es-ES"/>
        </w:rPr>
        <w:t xml:space="preserve"> (15 CASOS DE 90)</w:t>
      </w:r>
    </w:p>
    <w:p w:rsidR="00BD2704" w:rsidRDefault="00BD2704" w:rsidP="00682A1A">
      <w:pPr>
        <w:spacing w:after="0" w:line="240" w:lineRule="auto"/>
        <w:ind w:left="284"/>
        <w:jc w:val="center"/>
        <w:rPr>
          <w:lang w:val="es-ES"/>
        </w:rPr>
      </w:pPr>
      <w:r>
        <w:rPr>
          <w:noProof/>
          <w:lang w:eastAsia="es-CL"/>
        </w:rPr>
        <w:drawing>
          <wp:inline distT="0" distB="0" distL="0" distR="0" wp14:anchorId="53A4D57D" wp14:editId="759F115F">
            <wp:extent cx="3053751" cy="1915064"/>
            <wp:effectExtent l="0" t="0" r="13335" b="9525"/>
            <wp:docPr id="12" name="Gráfico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BD2704" w:rsidRPr="00380375" w:rsidRDefault="00BD2704" w:rsidP="00682A1A">
      <w:pPr>
        <w:spacing w:after="0" w:line="240" w:lineRule="auto"/>
        <w:ind w:left="284"/>
        <w:jc w:val="both"/>
        <w:rPr>
          <w:lang w:val="es-ES"/>
        </w:rPr>
      </w:pPr>
    </w:p>
    <w:p w:rsidR="00BD2704" w:rsidRPr="00380375" w:rsidRDefault="00BD2704" w:rsidP="0002588C">
      <w:pPr>
        <w:spacing w:after="0" w:line="240" w:lineRule="auto"/>
        <w:jc w:val="both"/>
        <w:rPr>
          <w:lang w:val="es-ES"/>
        </w:rPr>
      </w:pPr>
      <w:r>
        <w:rPr>
          <w:lang w:val="es-ES"/>
        </w:rPr>
        <w:t xml:space="preserve">En distintas áreas de la salud aparece el 13,3 % de los encuestados (12 casos): </w:t>
      </w:r>
      <w:r w:rsidRPr="00380375">
        <w:rPr>
          <w:lang w:val="es-ES"/>
        </w:rPr>
        <w:t>enfe</w:t>
      </w:r>
      <w:r>
        <w:rPr>
          <w:lang w:val="es-ES"/>
        </w:rPr>
        <w:t xml:space="preserve">rmeros, odontólogos, matronas, </w:t>
      </w:r>
      <w:r w:rsidRPr="00380375">
        <w:rPr>
          <w:lang w:val="es-ES"/>
        </w:rPr>
        <w:t xml:space="preserve">nutricionistas, </w:t>
      </w:r>
      <w:r>
        <w:rPr>
          <w:lang w:val="es-ES"/>
        </w:rPr>
        <w:t>y otros no especificados pero que trabajan o han trabajado en instituciones de salud como CESFAM o posta rural. En su mayoría corresponden a áreas rurales y/o aisladas.</w:t>
      </w:r>
      <w:r w:rsidRPr="00380375">
        <w:rPr>
          <w:lang w:val="es-ES"/>
        </w:rPr>
        <w:t xml:space="preserve"> </w:t>
      </w:r>
    </w:p>
    <w:p w:rsidR="00BD2704" w:rsidRDefault="00BD2704" w:rsidP="00682A1A">
      <w:pPr>
        <w:spacing w:after="0" w:line="240" w:lineRule="auto"/>
        <w:ind w:left="284"/>
        <w:jc w:val="both"/>
        <w:rPr>
          <w:lang w:val="es-ES"/>
        </w:rPr>
      </w:pPr>
    </w:p>
    <w:p w:rsidR="000372B5" w:rsidRDefault="000372B5">
      <w:pPr>
        <w:rPr>
          <w:b/>
          <w:lang w:val="es-ES"/>
        </w:rPr>
      </w:pPr>
      <w:r>
        <w:rPr>
          <w:b/>
          <w:lang w:val="es-ES"/>
        </w:rPr>
        <w:br w:type="page"/>
      </w:r>
    </w:p>
    <w:p w:rsidR="002B4B64" w:rsidRPr="002B4B64" w:rsidRDefault="002B4B64" w:rsidP="002B4B64">
      <w:pPr>
        <w:spacing w:after="0" w:line="240" w:lineRule="auto"/>
        <w:ind w:left="284"/>
        <w:jc w:val="center"/>
        <w:rPr>
          <w:b/>
          <w:lang w:val="es-ES"/>
        </w:rPr>
      </w:pPr>
      <w:r w:rsidRPr="002B4B64">
        <w:rPr>
          <w:b/>
          <w:lang w:val="es-ES"/>
        </w:rPr>
        <w:lastRenderedPageBreak/>
        <w:t>GR</w:t>
      </w:r>
      <w:r>
        <w:rPr>
          <w:b/>
          <w:lang w:val="es-ES"/>
        </w:rPr>
        <w:t xml:space="preserve">ÁFICO Nº </w:t>
      </w:r>
      <w:r w:rsidR="00500E98">
        <w:rPr>
          <w:b/>
          <w:lang w:val="es-ES"/>
        </w:rPr>
        <w:t>10</w:t>
      </w:r>
      <w:r w:rsidRPr="002B4B64">
        <w:rPr>
          <w:b/>
          <w:lang w:val="es-ES"/>
        </w:rPr>
        <w:t>:</w:t>
      </w:r>
    </w:p>
    <w:p w:rsidR="002B4B64" w:rsidRPr="002B4B64" w:rsidRDefault="002B4B64" w:rsidP="002B4B64">
      <w:pPr>
        <w:spacing w:after="0" w:line="240" w:lineRule="auto"/>
        <w:ind w:left="284"/>
        <w:jc w:val="center"/>
        <w:rPr>
          <w:b/>
          <w:lang w:val="es-ES"/>
        </w:rPr>
      </w:pPr>
      <w:r w:rsidRPr="002B4B64">
        <w:rPr>
          <w:b/>
          <w:lang w:val="es-ES"/>
        </w:rPr>
        <w:t xml:space="preserve">DESEMPEÑO EN </w:t>
      </w:r>
      <w:r>
        <w:rPr>
          <w:b/>
          <w:lang w:val="es-ES"/>
        </w:rPr>
        <w:t>ÁREA SALUD</w:t>
      </w:r>
    </w:p>
    <w:p w:rsidR="00BD2704" w:rsidRDefault="00BD2704" w:rsidP="00682A1A">
      <w:pPr>
        <w:spacing w:after="0" w:line="240" w:lineRule="auto"/>
        <w:ind w:left="284"/>
        <w:jc w:val="center"/>
        <w:rPr>
          <w:lang w:val="es-ES"/>
        </w:rPr>
      </w:pPr>
      <w:r>
        <w:rPr>
          <w:noProof/>
          <w:lang w:eastAsia="es-CL"/>
        </w:rPr>
        <w:drawing>
          <wp:inline distT="0" distB="0" distL="0" distR="0" wp14:anchorId="726A581A" wp14:editId="74C2E18A">
            <wp:extent cx="3105509" cy="2147977"/>
            <wp:effectExtent l="0" t="0" r="19050" b="24130"/>
            <wp:docPr id="6" name="Gráfic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BD2704" w:rsidRDefault="00BD2704" w:rsidP="00682A1A">
      <w:pPr>
        <w:spacing w:after="0" w:line="240" w:lineRule="auto"/>
        <w:ind w:left="284"/>
        <w:jc w:val="both"/>
        <w:rPr>
          <w:lang w:val="es-ES"/>
        </w:rPr>
      </w:pPr>
    </w:p>
    <w:p w:rsidR="00BD2704" w:rsidRDefault="00BD2704" w:rsidP="0002588C">
      <w:pPr>
        <w:spacing w:after="0" w:line="240" w:lineRule="auto"/>
        <w:jc w:val="both"/>
        <w:rPr>
          <w:lang w:val="es-ES"/>
        </w:rPr>
      </w:pPr>
      <w:r w:rsidRPr="00380375">
        <w:rPr>
          <w:lang w:val="es-ES"/>
        </w:rPr>
        <w:t xml:space="preserve">El 10% </w:t>
      </w:r>
      <w:r>
        <w:rPr>
          <w:lang w:val="es-ES"/>
        </w:rPr>
        <w:t>(9 casos) desarrolla asistencia técnica en el área agrícola.</w:t>
      </w:r>
    </w:p>
    <w:p w:rsidR="007D525F" w:rsidRDefault="007D525F" w:rsidP="00445C75">
      <w:pPr>
        <w:spacing w:after="0" w:line="240" w:lineRule="auto"/>
        <w:rPr>
          <w:b/>
          <w:lang w:val="es-ES"/>
        </w:rPr>
      </w:pPr>
    </w:p>
    <w:p w:rsidR="002B4B64" w:rsidRPr="002B4B64" w:rsidRDefault="002B4B64" w:rsidP="002B4B64">
      <w:pPr>
        <w:spacing w:after="0" w:line="240" w:lineRule="auto"/>
        <w:ind w:left="284"/>
        <w:jc w:val="center"/>
        <w:rPr>
          <w:b/>
          <w:lang w:val="es-ES"/>
        </w:rPr>
      </w:pPr>
      <w:r w:rsidRPr="002B4B64">
        <w:rPr>
          <w:b/>
          <w:lang w:val="es-ES"/>
        </w:rPr>
        <w:t>GR</w:t>
      </w:r>
      <w:r w:rsidR="00500E98">
        <w:rPr>
          <w:b/>
          <w:lang w:val="es-ES"/>
        </w:rPr>
        <w:t>ÁFICO Nº 11</w:t>
      </w:r>
      <w:r w:rsidRPr="002B4B64">
        <w:rPr>
          <w:b/>
          <w:lang w:val="es-ES"/>
        </w:rPr>
        <w:t>:</w:t>
      </w:r>
    </w:p>
    <w:p w:rsidR="002B4B64" w:rsidRPr="002B4B64" w:rsidRDefault="002B4B64" w:rsidP="002B4B64">
      <w:pPr>
        <w:spacing w:after="0" w:line="240" w:lineRule="auto"/>
        <w:ind w:left="284"/>
        <w:jc w:val="center"/>
        <w:rPr>
          <w:b/>
          <w:lang w:val="es-ES"/>
        </w:rPr>
      </w:pPr>
      <w:r w:rsidRPr="002B4B64">
        <w:rPr>
          <w:b/>
          <w:lang w:val="es-ES"/>
        </w:rPr>
        <w:t xml:space="preserve">DESEMPEÑO EN </w:t>
      </w:r>
      <w:r>
        <w:rPr>
          <w:b/>
          <w:lang w:val="es-ES"/>
        </w:rPr>
        <w:t>ASISTENCIA TÉCNICA (AGRÍCOLA</w:t>
      </w:r>
      <w:r w:rsidR="003508BE">
        <w:rPr>
          <w:b/>
          <w:lang w:val="es-ES"/>
        </w:rPr>
        <w:t>; 9 CASOS DE 90</w:t>
      </w:r>
      <w:r>
        <w:rPr>
          <w:b/>
          <w:lang w:val="es-ES"/>
        </w:rPr>
        <w:t>)</w:t>
      </w:r>
    </w:p>
    <w:p w:rsidR="00BD2704" w:rsidRDefault="00BD2704" w:rsidP="00682A1A">
      <w:pPr>
        <w:spacing w:after="0" w:line="240" w:lineRule="auto"/>
        <w:ind w:left="284"/>
        <w:jc w:val="center"/>
        <w:rPr>
          <w:lang w:val="es-ES"/>
        </w:rPr>
      </w:pPr>
      <w:r>
        <w:rPr>
          <w:noProof/>
          <w:lang w:eastAsia="es-CL"/>
        </w:rPr>
        <w:drawing>
          <wp:inline distT="0" distB="0" distL="0" distR="0" wp14:anchorId="73537453" wp14:editId="63A28478">
            <wp:extent cx="3131388" cy="2208363"/>
            <wp:effectExtent l="0" t="0" r="12065" b="20955"/>
            <wp:docPr id="3" name="Gráfic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BD2704" w:rsidRDefault="00BD2704" w:rsidP="00682A1A">
      <w:pPr>
        <w:spacing w:after="0" w:line="240" w:lineRule="auto"/>
        <w:ind w:left="284"/>
        <w:jc w:val="both"/>
        <w:rPr>
          <w:lang w:val="es-ES"/>
        </w:rPr>
      </w:pPr>
    </w:p>
    <w:p w:rsidR="00BD2704" w:rsidRDefault="00BD2704" w:rsidP="0002588C">
      <w:pPr>
        <w:spacing w:after="0" w:line="240" w:lineRule="auto"/>
        <w:jc w:val="both"/>
        <w:rPr>
          <w:lang w:val="es-ES"/>
        </w:rPr>
      </w:pPr>
      <w:r w:rsidRPr="00380375">
        <w:rPr>
          <w:lang w:val="es-ES"/>
        </w:rPr>
        <w:t xml:space="preserve">En el ámbito de la educación </w:t>
      </w:r>
      <w:r>
        <w:rPr>
          <w:lang w:val="es-ES"/>
        </w:rPr>
        <w:t>aparece el</w:t>
      </w:r>
      <w:r w:rsidRPr="00380375">
        <w:rPr>
          <w:lang w:val="es-ES"/>
        </w:rPr>
        <w:t xml:space="preserve"> 8.8% </w:t>
      </w:r>
      <w:r>
        <w:rPr>
          <w:lang w:val="es-ES"/>
        </w:rPr>
        <w:t>de los encuestados (8 casos), quienes se desempeñan en colegios o jardines infantiles.</w:t>
      </w:r>
    </w:p>
    <w:p w:rsidR="00445C75" w:rsidRDefault="00445C75" w:rsidP="002B4B64">
      <w:pPr>
        <w:spacing w:after="0" w:line="240" w:lineRule="auto"/>
        <w:ind w:left="284"/>
        <w:jc w:val="center"/>
        <w:rPr>
          <w:b/>
          <w:lang w:val="es-ES"/>
        </w:rPr>
      </w:pPr>
    </w:p>
    <w:p w:rsidR="000372B5" w:rsidRDefault="000372B5">
      <w:pPr>
        <w:rPr>
          <w:b/>
          <w:lang w:val="es-ES"/>
        </w:rPr>
      </w:pPr>
      <w:r>
        <w:rPr>
          <w:b/>
          <w:lang w:val="es-ES"/>
        </w:rPr>
        <w:br w:type="page"/>
      </w:r>
    </w:p>
    <w:p w:rsidR="002B4B64" w:rsidRPr="002B4B64" w:rsidRDefault="002B4B64" w:rsidP="002B4B64">
      <w:pPr>
        <w:spacing w:after="0" w:line="240" w:lineRule="auto"/>
        <w:ind w:left="284"/>
        <w:jc w:val="center"/>
        <w:rPr>
          <w:b/>
          <w:lang w:val="es-ES"/>
        </w:rPr>
      </w:pPr>
      <w:r w:rsidRPr="002B4B64">
        <w:rPr>
          <w:b/>
          <w:lang w:val="es-ES"/>
        </w:rPr>
        <w:lastRenderedPageBreak/>
        <w:t>GR</w:t>
      </w:r>
      <w:r>
        <w:rPr>
          <w:b/>
          <w:lang w:val="es-ES"/>
        </w:rPr>
        <w:t>ÁFICO Nº 1</w:t>
      </w:r>
      <w:r w:rsidR="00500E98">
        <w:rPr>
          <w:b/>
          <w:lang w:val="es-ES"/>
        </w:rPr>
        <w:t>2</w:t>
      </w:r>
      <w:r w:rsidRPr="002B4B64">
        <w:rPr>
          <w:b/>
          <w:lang w:val="es-ES"/>
        </w:rPr>
        <w:t>:</w:t>
      </w:r>
    </w:p>
    <w:p w:rsidR="002B4B64" w:rsidRPr="002B4B64" w:rsidRDefault="002B4B64" w:rsidP="002B4B64">
      <w:pPr>
        <w:spacing w:after="0" w:line="240" w:lineRule="auto"/>
        <w:ind w:left="284"/>
        <w:jc w:val="center"/>
        <w:rPr>
          <w:b/>
          <w:lang w:val="es-ES"/>
        </w:rPr>
      </w:pPr>
      <w:r w:rsidRPr="002B4B64">
        <w:rPr>
          <w:b/>
          <w:lang w:val="es-ES"/>
        </w:rPr>
        <w:t xml:space="preserve">DESEMPEÑO EN </w:t>
      </w:r>
      <w:r>
        <w:rPr>
          <w:b/>
          <w:lang w:val="es-ES"/>
        </w:rPr>
        <w:t>ÁREA EDUCACIÓN</w:t>
      </w:r>
      <w:r w:rsidR="003508BE">
        <w:rPr>
          <w:b/>
          <w:lang w:val="es-ES"/>
        </w:rPr>
        <w:t xml:space="preserve"> (8 CASOS DE 90)</w:t>
      </w:r>
    </w:p>
    <w:p w:rsidR="00BD2704" w:rsidRDefault="00BD2704" w:rsidP="00682A1A">
      <w:pPr>
        <w:spacing w:after="0" w:line="240" w:lineRule="auto"/>
        <w:ind w:left="284"/>
        <w:jc w:val="center"/>
        <w:rPr>
          <w:lang w:val="es-ES"/>
        </w:rPr>
      </w:pPr>
      <w:r>
        <w:rPr>
          <w:noProof/>
          <w:lang w:eastAsia="es-CL"/>
        </w:rPr>
        <w:drawing>
          <wp:inline distT="0" distB="0" distL="0" distR="0" wp14:anchorId="6CC0D438" wp14:editId="3C9A6660">
            <wp:extent cx="3200400" cy="2182483"/>
            <wp:effectExtent l="0" t="0" r="19050" b="27940"/>
            <wp:docPr id="2"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BD2704" w:rsidRDefault="00BD2704" w:rsidP="00682A1A">
      <w:pPr>
        <w:spacing w:after="0" w:line="240" w:lineRule="auto"/>
        <w:ind w:left="284"/>
        <w:jc w:val="both"/>
        <w:rPr>
          <w:lang w:val="es-ES"/>
        </w:rPr>
      </w:pPr>
    </w:p>
    <w:p w:rsidR="00682A1A" w:rsidRDefault="00682A1A" w:rsidP="0002588C">
      <w:pPr>
        <w:spacing w:after="0" w:line="240" w:lineRule="auto"/>
        <w:jc w:val="both"/>
        <w:rPr>
          <w:lang w:val="es-ES"/>
        </w:rPr>
      </w:pPr>
      <w:r>
        <w:rPr>
          <w:lang w:val="es-ES"/>
        </w:rPr>
        <w:t>Por último, de manera muy simplificada y en virtud de las dependencias en que han desempeñado sus cargos, podría decirse que se dedican a la formulación y gestión de proyectos 12 de los encuestados (13,3 % de la muestra): Dirección de Obras, SECPLAN, cartografía.</w:t>
      </w:r>
    </w:p>
    <w:p w:rsidR="00BD2704" w:rsidRDefault="00BD2704" w:rsidP="0002588C">
      <w:pPr>
        <w:spacing w:after="0" w:line="240" w:lineRule="auto"/>
        <w:jc w:val="both"/>
        <w:rPr>
          <w:lang w:val="es-ES"/>
        </w:rPr>
      </w:pPr>
    </w:p>
    <w:p w:rsidR="00BD2704" w:rsidRDefault="00682A1A" w:rsidP="0002588C">
      <w:pPr>
        <w:spacing w:after="0" w:line="240" w:lineRule="auto"/>
        <w:jc w:val="both"/>
        <w:rPr>
          <w:lang w:val="es-ES"/>
        </w:rPr>
      </w:pPr>
      <w:r>
        <w:rPr>
          <w:lang w:val="es-ES"/>
        </w:rPr>
        <w:t xml:space="preserve">El Cuadro Nº </w:t>
      </w:r>
      <w:r w:rsidR="00BD6C11">
        <w:rPr>
          <w:lang w:val="es-ES"/>
        </w:rPr>
        <w:t>1</w:t>
      </w:r>
      <w:r>
        <w:rPr>
          <w:lang w:val="es-ES"/>
        </w:rPr>
        <w:t xml:space="preserve"> presenta la lista de áreas de desempeño informadas por las encuestas:</w:t>
      </w:r>
    </w:p>
    <w:p w:rsidR="00445C75" w:rsidRDefault="00445C75" w:rsidP="00682A1A">
      <w:pPr>
        <w:spacing w:after="0" w:line="240" w:lineRule="auto"/>
        <w:ind w:left="284"/>
        <w:jc w:val="center"/>
        <w:rPr>
          <w:b/>
          <w:lang w:val="es-ES"/>
        </w:rPr>
      </w:pPr>
    </w:p>
    <w:p w:rsidR="000372B5" w:rsidRDefault="000372B5">
      <w:pPr>
        <w:rPr>
          <w:b/>
          <w:lang w:val="es-ES"/>
        </w:rPr>
      </w:pPr>
      <w:r>
        <w:rPr>
          <w:b/>
          <w:lang w:val="es-ES"/>
        </w:rPr>
        <w:br w:type="page"/>
      </w:r>
    </w:p>
    <w:p w:rsidR="00682A1A" w:rsidRPr="00682A1A" w:rsidRDefault="00682A1A" w:rsidP="00682A1A">
      <w:pPr>
        <w:spacing w:after="0" w:line="240" w:lineRule="auto"/>
        <w:ind w:left="284"/>
        <w:jc w:val="center"/>
        <w:rPr>
          <w:b/>
          <w:lang w:val="es-ES"/>
        </w:rPr>
      </w:pPr>
      <w:r w:rsidRPr="00682A1A">
        <w:rPr>
          <w:b/>
          <w:lang w:val="es-ES"/>
        </w:rPr>
        <w:lastRenderedPageBreak/>
        <w:t xml:space="preserve">CUADRO Nº </w:t>
      </w:r>
      <w:r w:rsidR="00BD6C11">
        <w:rPr>
          <w:b/>
          <w:lang w:val="es-ES"/>
        </w:rPr>
        <w:t>1:</w:t>
      </w:r>
    </w:p>
    <w:p w:rsidR="00682A1A" w:rsidRPr="00682A1A" w:rsidRDefault="00682A1A" w:rsidP="00682A1A">
      <w:pPr>
        <w:spacing w:after="0" w:line="240" w:lineRule="auto"/>
        <w:ind w:left="284"/>
        <w:jc w:val="center"/>
        <w:rPr>
          <w:b/>
          <w:lang w:val="es-ES"/>
        </w:rPr>
      </w:pPr>
      <w:r w:rsidRPr="00682A1A">
        <w:rPr>
          <w:b/>
          <w:lang w:val="es-ES"/>
        </w:rPr>
        <w:t>ÁREAS DE DESEMPEÑO DE BENEFICIARIOS</w:t>
      </w:r>
    </w:p>
    <w:tbl>
      <w:tblPr>
        <w:tblpPr w:leftFromText="141" w:rightFromText="141" w:vertAnchor="text" w:horzAnchor="margin" w:tblpXSpec="center" w:tblpY="230"/>
        <w:tblW w:w="8613"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1100"/>
        <w:gridCol w:w="7513"/>
      </w:tblGrid>
      <w:tr w:rsidR="00061685" w:rsidRPr="00380375" w:rsidTr="00655262">
        <w:tc>
          <w:tcPr>
            <w:tcW w:w="1100" w:type="dxa"/>
            <w:tcBorders>
              <w:bottom w:val="single" w:sz="18" w:space="0" w:color="auto"/>
            </w:tcBorders>
            <w:shd w:val="clear" w:color="auto" w:fill="548DD4" w:themeFill="text2" w:themeFillTint="99"/>
          </w:tcPr>
          <w:p w:rsidR="00061685" w:rsidRPr="00380375" w:rsidRDefault="00061685" w:rsidP="00F72FD0">
            <w:pPr>
              <w:spacing w:after="0" w:line="240" w:lineRule="auto"/>
              <w:jc w:val="both"/>
              <w:rPr>
                <w:b/>
                <w:bCs/>
                <w:color w:val="FFFFFF"/>
                <w:lang w:val="es-ES"/>
              </w:rPr>
            </w:pPr>
            <w:r w:rsidRPr="00380375">
              <w:rPr>
                <w:b/>
                <w:bCs/>
                <w:color w:val="FFFFFF"/>
                <w:lang w:val="es-ES"/>
              </w:rPr>
              <w:t>Cantidad</w:t>
            </w:r>
          </w:p>
        </w:tc>
        <w:tc>
          <w:tcPr>
            <w:tcW w:w="7513" w:type="dxa"/>
            <w:tcBorders>
              <w:bottom w:val="single" w:sz="18" w:space="0" w:color="auto"/>
            </w:tcBorders>
            <w:shd w:val="clear" w:color="auto" w:fill="548DD4" w:themeFill="text2" w:themeFillTint="99"/>
          </w:tcPr>
          <w:p w:rsidR="00061685" w:rsidRPr="00380375" w:rsidRDefault="00061685" w:rsidP="00F72FD0">
            <w:pPr>
              <w:spacing w:after="0" w:line="240" w:lineRule="auto"/>
              <w:jc w:val="both"/>
              <w:rPr>
                <w:b/>
                <w:bCs/>
                <w:color w:val="FFFFFF"/>
                <w:lang w:val="es-ES"/>
              </w:rPr>
            </w:pPr>
            <w:r w:rsidRPr="00380375">
              <w:rPr>
                <w:b/>
                <w:bCs/>
                <w:color w:val="FFFFFF"/>
                <w:lang w:val="es-ES"/>
              </w:rPr>
              <w:t>Área / Labores</w:t>
            </w:r>
          </w:p>
        </w:tc>
      </w:tr>
      <w:tr w:rsidR="00061685" w:rsidRPr="00380375" w:rsidTr="00655262">
        <w:tc>
          <w:tcPr>
            <w:tcW w:w="1100" w:type="dxa"/>
            <w:tcBorders>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14</w:t>
            </w:r>
          </w:p>
        </w:tc>
        <w:tc>
          <w:tcPr>
            <w:tcW w:w="7513" w:type="dxa"/>
            <w:tcBorders>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Área Social / Labores variadas relacionadas con el tema</w:t>
            </w:r>
            <w:r>
              <w:rPr>
                <w:lang w:val="es-ES"/>
              </w:rPr>
              <w:t xml:space="preserve"> / Proyectos Sociales</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6</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proofErr w:type="spellStart"/>
            <w:r w:rsidRPr="00380375">
              <w:rPr>
                <w:lang w:val="es-ES"/>
              </w:rPr>
              <w:t>Dideco</w:t>
            </w:r>
            <w:proofErr w:type="spellEnd"/>
            <w:r w:rsidRPr="00380375">
              <w:rPr>
                <w:lang w:val="es-ES"/>
              </w:rPr>
              <w:t xml:space="preserve"> (Dirección de Desarrollo Comunitario)</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8</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proofErr w:type="spellStart"/>
            <w:r w:rsidRPr="00380375">
              <w:rPr>
                <w:lang w:val="es-ES"/>
              </w:rPr>
              <w:t>Secplan</w:t>
            </w:r>
            <w:proofErr w:type="spellEnd"/>
            <w:r w:rsidRPr="00380375">
              <w:rPr>
                <w:lang w:val="es-ES"/>
              </w:rPr>
              <w:t xml:space="preserve"> (Secretario comunal de Planificación y Coordinación) / Programas proyectos que apunten al desarrollo comunal</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4</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proofErr w:type="spellStart"/>
            <w:r w:rsidRPr="00380375">
              <w:rPr>
                <w:lang w:val="es-ES"/>
              </w:rPr>
              <w:t>Cesfam</w:t>
            </w:r>
            <w:proofErr w:type="spellEnd"/>
            <w:r w:rsidRPr="00380375">
              <w:rPr>
                <w:lang w:val="es-ES"/>
              </w:rPr>
              <w:t xml:space="preserve"> (Centro de Salud Familiar)</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7</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Docente</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5</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proofErr w:type="spellStart"/>
            <w:r w:rsidRPr="00380375">
              <w:rPr>
                <w:lang w:val="es-ES"/>
              </w:rPr>
              <w:t>Prodesal</w:t>
            </w:r>
            <w:proofErr w:type="spellEnd"/>
            <w:r w:rsidRPr="00380375">
              <w:rPr>
                <w:lang w:val="es-ES"/>
              </w:rPr>
              <w:t xml:space="preserve"> (Programa de desarrollo de localidades rurales)</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4</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Administración Municipal</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2</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Odontólogo</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7</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Contabilidad</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3</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Dirección de obras</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3</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proofErr w:type="spellStart"/>
            <w:r w:rsidRPr="00380375">
              <w:rPr>
                <w:lang w:val="es-ES"/>
              </w:rPr>
              <w:t>Prodemu</w:t>
            </w:r>
            <w:proofErr w:type="spellEnd"/>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2</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Nutricionista</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2</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Fomento Productivo</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4</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Asesoría Técnica a pequeños agricultores</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Enfermero Posta Rural</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 xml:space="preserve">2 </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Área de turismo</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Ley de Transparencia</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Unidad Jurídica</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Enfermera</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Apoyo Microempresarios</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Análisis cartográfico</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Pr>
                <w:b/>
                <w:bCs/>
                <w:color w:val="FFFFFF"/>
                <w:lang w:val="es-ES"/>
              </w:rPr>
              <w:t>7</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Presupuesto Municipal</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 xml:space="preserve">1 </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Atención en postas rurales</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Coordinadora Fundación Integra</w:t>
            </w:r>
          </w:p>
        </w:tc>
      </w:tr>
      <w:tr w:rsidR="00061685" w:rsidRPr="00380375" w:rsidTr="00655262">
        <w:tc>
          <w:tcPr>
            <w:tcW w:w="1100" w:type="dxa"/>
            <w:tcBorders>
              <w:top w:val="single" w:sz="4" w:space="0" w:color="auto"/>
              <w:left w:val="single" w:sz="18" w:space="0" w:color="auto"/>
              <w:bottom w:val="single" w:sz="4"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4" w:space="0" w:color="auto"/>
              <w:right w:val="single" w:sz="18" w:space="0" w:color="auto"/>
            </w:tcBorders>
            <w:shd w:val="clear" w:color="auto" w:fill="auto"/>
          </w:tcPr>
          <w:p w:rsidR="00061685" w:rsidRPr="00380375" w:rsidRDefault="00061685" w:rsidP="000372B5">
            <w:pPr>
              <w:spacing w:after="0" w:line="240" w:lineRule="auto"/>
              <w:jc w:val="both"/>
              <w:rPr>
                <w:lang w:val="es-ES"/>
              </w:rPr>
            </w:pPr>
            <w:r w:rsidRPr="00380375">
              <w:rPr>
                <w:lang w:val="es-ES"/>
              </w:rPr>
              <w:t>Jefe de adqui</w:t>
            </w:r>
            <w:r w:rsidR="000372B5">
              <w:rPr>
                <w:lang w:val="es-ES"/>
              </w:rPr>
              <w:t>sic</w:t>
            </w:r>
            <w:r w:rsidRPr="00380375">
              <w:rPr>
                <w:lang w:val="es-ES"/>
              </w:rPr>
              <w:t>ión</w:t>
            </w:r>
          </w:p>
        </w:tc>
      </w:tr>
      <w:tr w:rsidR="00061685" w:rsidRPr="00380375" w:rsidTr="00655262">
        <w:tc>
          <w:tcPr>
            <w:tcW w:w="1100" w:type="dxa"/>
            <w:tcBorders>
              <w:top w:val="single" w:sz="4" w:space="0" w:color="auto"/>
              <w:left w:val="single" w:sz="18" w:space="0" w:color="auto"/>
              <w:bottom w:val="single" w:sz="18" w:space="0" w:color="auto"/>
              <w:right w:val="single" w:sz="4" w:space="0" w:color="auto"/>
            </w:tcBorders>
            <w:shd w:val="clear" w:color="auto" w:fill="548DD4" w:themeFill="text2" w:themeFillTint="99"/>
          </w:tcPr>
          <w:p w:rsidR="00061685" w:rsidRPr="00380375" w:rsidRDefault="00061685" w:rsidP="00F72FD0">
            <w:pPr>
              <w:spacing w:after="0" w:line="240" w:lineRule="auto"/>
              <w:jc w:val="center"/>
              <w:rPr>
                <w:b/>
                <w:bCs/>
                <w:color w:val="FFFFFF"/>
                <w:lang w:val="es-ES"/>
              </w:rPr>
            </w:pPr>
            <w:r w:rsidRPr="00380375">
              <w:rPr>
                <w:b/>
                <w:bCs/>
                <w:color w:val="FFFFFF"/>
                <w:lang w:val="es-ES"/>
              </w:rPr>
              <w:t>1</w:t>
            </w:r>
          </w:p>
        </w:tc>
        <w:tc>
          <w:tcPr>
            <w:tcW w:w="7513" w:type="dxa"/>
            <w:tcBorders>
              <w:top w:val="single" w:sz="4" w:space="0" w:color="auto"/>
              <w:left w:val="single" w:sz="4" w:space="0" w:color="auto"/>
              <w:bottom w:val="single" w:sz="18" w:space="0" w:color="auto"/>
              <w:right w:val="single" w:sz="18" w:space="0" w:color="auto"/>
            </w:tcBorders>
            <w:shd w:val="clear" w:color="auto" w:fill="auto"/>
          </w:tcPr>
          <w:p w:rsidR="00061685" w:rsidRPr="00380375" w:rsidRDefault="00061685" w:rsidP="00F72FD0">
            <w:pPr>
              <w:spacing w:after="0" w:line="240" w:lineRule="auto"/>
              <w:jc w:val="both"/>
              <w:rPr>
                <w:lang w:val="es-ES"/>
              </w:rPr>
            </w:pPr>
            <w:r w:rsidRPr="00380375">
              <w:rPr>
                <w:lang w:val="es-ES"/>
              </w:rPr>
              <w:t>Orientación farmacéutica</w:t>
            </w:r>
          </w:p>
        </w:tc>
      </w:tr>
    </w:tbl>
    <w:p w:rsidR="00BD6C11" w:rsidRDefault="00BD6C11" w:rsidP="00061685">
      <w:pPr>
        <w:spacing w:after="0" w:line="240" w:lineRule="auto"/>
        <w:rPr>
          <w:sz w:val="18"/>
          <w:szCs w:val="18"/>
          <w:lang w:val="es-ES"/>
        </w:rPr>
      </w:pP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BD2704" w:rsidRPr="00F636B5" w:rsidRDefault="00BD2704" w:rsidP="00682A1A">
      <w:pPr>
        <w:spacing w:after="0" w:line="240" w:lineRule="auto"/>
        <w:rPr>
          <w:lang w:val="es-ES"/>
        </w:rPr>
      </w:pPr>
    </w:p>
    <w:p w:rsidR="00C55B61" w:rsidRPr="009B6D95" w:rsidRDefault="00C55B61" w:rsidP="009B6D95">
      <w:pPr>
        <w:pStyle w:val="Ttulo2"/>
      </w:pPr>
      <w:bookmarkStart w:id="26" w:name="_Toc341866727"/>
      <w:r w:rsidRPr="009B6D95">
        <w:t>Año de titulación (experiencia</w:t>
      </w:r>
      <w:r w:rsidR="00534B28">
        <w:t xml:space="preserve"> laboral</w:t>
      </w:r>
      <w:r w:rsidRPr="009B6D95">
        <w:t>)</w:t>
      </w:r>
      <w:bookmarkEnd w:id="26"/>
    </w:p>
    <w:p w:rsidR="00BD6C11" w:rsidRDefault="00BD6C11" w:rsidP="00682A1A">
      <w:pPr>
        <w:spacing w:after="0" w:line="240" w:lineRule="auto"/>
        <w:jc w:val="both"/>
        <w:rPr>
          <w:rFonts w:ascii="Calibri" w:eastAsia="Calibri" w:hAnsi="Calibri" w:cs="Times New Roman"/>
        </w:rPr>
      </w:pPr>
    </w:p>
    <w:p w:rsidR="00575FF8" w:rsidRDefault="00C36C6C" w:rsidP="00682A1A">
      <w:pPr>
        <w:spacing w:after="0" w:line="240" w:lineRule="auto"/>
        <w:jc w:val="both"/>
        <w:rPr>
          <w:lang w:val="es-ES"/>
        </w:rPr>
      </w:pPr>
      <w:r w:rsidRPr="0002588C">
        <w:rPr>
          <w:lang w:val="es-ES"/>
        </w:rPr>
        <w:t xml:space="preserve">También las encuestas (los datos no necesariamente son estadísticamente representativos del universo) dan algunas luces acerca de la experiencia profesional de los beneficiarios. Según muestra el Gráfico Nº </w:t>
      </w:r>
      <w:r w:rsidR="00BD6C11" w:rsidRPr="0002588C">
        <w:rPr>
          <w:lang w:val="es-ES"/>
        </w:rPr>
        <w:t>1</w:t>
      </w:r>
      <w:r w:rsidR="00500E98" w:rsidRPr="0002588C">
        <w:rPr>
          <w:lang w:val="es-ES"/>
        </w:rPr>
        <w:t>3</w:t>
      </w:r>
      <w:r w:rsidRPr="0002588C">
        <w:rPr>
          <w:lang w:val="es-ES"/>
        </w:rPr>
        <w:t xml:space="preserve">, por lejos la mayoría obtuvo su titulación después del año 2000, concentrándose la mayor parte (38 casos equivalentes al 42% de la muestra) en los años 2006, 2007 y 2008 –4 a 6 años de experiencia profesional–. Se trata, entonces, de un grupo en general bastante joven. </w:t>
      </w:r>
      <w:proofErr w:type="spellStart"/>
      <w:r w:rsidRPr="0002588C">
        <w:rPr>
          <w:lang w:val="es-ES"/>
        </w:rPr>
        <w:t>Aún</w:t>
      </w:r>
      <w:proofErr w:type="spellEnd"/>
      <w:r w:rsidRPr="0002588C">
        <w:rPr>
          <w:lang w:val="es-ES"/>
        </w:rPr>
        <w:t xml:space="preserve"> así, hay un conjunto no despreciable de profesionales ya no jóvenes, lo que podría estar atentando contra el espíritu inicial del programa de beneficios –expresado sobre todo en las discusiones parlamentarias–, de atraer a profesionales </w:t>
      </w:r>
      <w:r w:rsidRPr="001F0698">
        <w:rPr>
          <w:i/>
          <w:lang w:val="es-ES"/>
        </w:rPr>
        <w:t>jóvenes</w:t>
      </w:r>
      <w:r w:rsidRPr="0002588C">
        <w:rPr>
          <w:lang w:val="es-ES"/>
        </w:rPr>
        <w:t xml:space="preserve"> a las comunas más </w:t>
      </w:r>
      <w:r w:rsidRPr="0002588C">
        <w:rPr>
          <w:lang w:val="es-ES"/>
        </w:rPr>
        <w:lastRenderedPageBreak/>
        <w:t>rezagadas: 41 casos titulados entre los años 1991 (21 años de experiencia)</w:t>
      </w:r>
      <w:r w:rsidR="00B76C20">
        <w:rPr>
          <w:rStyle w:val="Refdenotaalpie"/>
          <w:lang w:val="es-ES"/>
        </w:rPr>
        <w:footnoteReference w:id="13"/>
      </w:r>
      <w:r w:rsidRPr="0002588C">
        <w:rPr>
          <w:lang w:val="es-ES"/>
        </w:rPr>
        <w:t xml:space="preserve"> </w:t>
      </w:r>
      <w:r w:rsidR="001F0698">
        <w:rPr>
          <w:lang w:val="es-ES"/>
        </w:rPr>
        <w:t>y</w:t>
      </w:r>
      <w:r w:rsidRPr="0002588C">
        <w:rPr>
          <w:lang w:val="es-ES"/>
        </w:rPr>
        <w:t xml:space="preserve"> 2005 (7 años de experiencia profesional).</w:t>
      </w:r>
    </w:p>
    <w:p w:rsidR="009A3460" w:rsidRPr="0002588C" w:rsidRDefault="009A3460" w:rsidP="00682A1A">
      <w:pPr>
        <w:spacing w:after="0" w:line="240" w:lineRule="auto"/>
        <w:jc w:val="both"/>
        <w:rPr>
          <w:lang w:val="es-ES"/>
        </w:rPr>
      </w:pPr>
    </w:p>
    <w:p w:rsidR="00575FF8" w:rsidRPr="009A5A92" w:rsidRDefault="00BD6C11" w:rsidP="00682A1A">
      <w:pPr>
        <w:spacing w:after="0" w:line="240" w:lineRule="auto"/>
        <w:jc w:val="center"/>
        <w:rPr>
          <w:rFonts w:ascii="Calibri" w:eastAsia="Calibri" w:hAnsi="Calibri" w:cs="Times New Roman"/>
          <w:b/>
        </w:rPr>
      </w:pPr>
      <w:r>
        <w:rPr>
          <w:rFonts w:ascii="Calibri" w:eastAsia="Calibri" w:hAnsi="Calibri" w:cs="Times New Roman"/>
          <w:b/>
        </w:rPr>
        <w:t>GRÁFICO Nº 1</w:t>
      </w:r>
      <w:r w:rsidR="00500E98">
        <w:rPr>
          <w:rFonts w:ascii="Calibri" w:eastAsia="Calibri" w:hAnsi="Calibri" w:cs="Times New Roman"/>
          <w:b/>
        </w:rPr>
        <w:t>3</w:t>
      </w:r>
      <w:r w:rsidR="00575FF8" w:rsidRPr="009A5A92">
        <w:rPr>
          <w:rFonts w:ascii="Calibri" w:eastAsia="Calibri" w:hAnsi="Calibri" w:cs="Times New Roman"/>
          <w:b/>
        </w:rPr>
        <w:t>:</w:t>
      </w:r>
    </w:p>
    <w:p w:rsidR="00575FF8" w:rsidRPr="009A5A92" w:rsidRDefault="00575FF8" w:rsidP="00682A1A">
      <w:pPr>
        <w:spacing w:after="0" w:line="240" w:lineRule="auto"/>
        <w:jc w:val="center"/>
        <w:rPr>
          <w:rFonts w:ascii="Calibri" w:eastAsia="Calibri" w:hAnsi="Calibri" w:cs="Times New Roman"/>
          <w:b/>
        </w:rPr>
      </w:pPr>
      <w:r w:rsidRPr="009A5A92">
        <w:rPr>
          <w:rFonts w:ascii="Calibri" w:eastAsia="Calibri" w:hAnsi="Calibri" w:cs="Times New Roman"/>
          <w:b/>
        </w:rPr>
        <w:t>AÑO DE TITULACIÓN</w:t>
      </w:r>
    </w:p>
    <w:p w:rsidR="000834D1" w:rsidRDefault="009A5A92" w:rsidP="00682A1A">
      <w:pPr>
        <w:spacing w:after="0" w:line="240" w:lineRule="auto"/>
        <w:jc w:val="center"/>
        <w:rPr>
          <w:rFonts w:ascii="Calibri" w:eastAsia="Calibri" w:hAnsi="Calibri" w:cs="Times New Roman"/>
        </w:rPr>
      </w:pPr>
      <w:r>
        <w:rPr>
          <w:noProof/>
          <w:lang w:eastAsia="es-CL"/>
        </w:rPr>
        <w:drawing>
          <wp:inline distT="0" distB="0" distL="0" distR="0" wp14:anchorId="0A563849" wp14:editId="28B9FFF8">
            <wp:extent cx="4572000" cy="2743200"/>
            <wp:effectExtent l="0" t="0" r="19050" b="1905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9A5A92" w:rsidRPr="00187071" w:rsidRDefault="009A5A92" w:rsidP="00682A1A">
      <w:pPr>
        <w:spacing w:after="0" w:line="240" w:lineRule="auto"/>
        <w:jc w:val="center"/>
        <w:rPr>
          <w:rFonts w:ascii="Calibri" w:eastAsia="Calibri" w:hAnsi="Calibri" w:cs="Times New Roman"/>
        </w:rPr>
      </w:pPr>
      <w:r>
        <w:rPr>
          <w:rFonts w:ascii="Calibri" w:eastAsia="Calibri" w:hAnsi="Calibri" w:cs="Times New Roman"/>
        </w:rPr>
        <w:t xml:space="preserve"> </w:t>
      </w:r>
    </w:p>
    <w:p w:rsidR="00C55B61" w:rsidRPr="009B6D95" w:rsidRDefault="00C55B61" w:rsidP="009B6D95">
      <w:pPr>
        <w:pStyle w:val="Ttulo2"/>
      </w:pPr>
      <w:bookmarkStart w:id="27" w:name="_Toc341866728"/>
      <w:r w:rsidRPr="009B6D95">
        <w:t>Años de desempeño en el puesto</w:t>
      </w:r>
      <w:bookmarkEnd w:id="27"/>
    </w:p>
    <w:p w:rsidR="00C55B61" w:rsidRDefault="00C55B61" w:rsidP="00682A1A">
      <w:pPr>
        <w:spacing w:after="0" w:line="240" w:lineRule="auto"/>
        <w:jc w:val="both"/>
        <w:rPr>
          <w:rFonts w:ascii="Calibri" w:eastAsia="Calibri" w:hAnsi="Calibri" w:cs="Times New Roman"/>
          <w:lang w:val="es-ES"/>
        </w:rPr>
      </w:pPr>
    </w:p>
    <w:p w:rsidR="00C36C6C" w:rsidRDefault="00C36C6C" w:rsidP="00682A1A">
      <w:pPr>
        <w:spacing w:after="0" w:line="240" w:lineRule="auto"/>
        <w:jc w:val="both"/>
        <w:rPr>
          <w:rFonts w:ascii="Calibri" w:eastAsia="Calibri" w:hAnsi="Calibri" w:cs="Times New Roman"/>
          <w:lang w:val="es-ES"/>
        </w:rPr>
      </w:pPr>
      <w:r>
        <w:rPr>
          <w:rFonts w:ascii="Calibri" w:eastAsia="Calibri" w:hAnsi="Calibri" w:cs="Times New Roman"/>
          <w:lang w:val="es-ES"/>
        </w:rPr>
        <w:t>Más preocupante resulta el dato q</w:t>
      </w:r>
      <w:r w:rsidR="00BD6C11">
        <w:rPr>
          <w:rFonts w:ascii="Calibri" w:eastAsia="Calibri" w:hAnsi="Calibri" w:cs="Times New Roman"/>
          <w:lang w:val="es-ES"/>
        </w:rPr>
        <w:t>ue se muestra en el Gráfico Nº 1</w:t>
      </w:r>
      <w:r w:rsidR="00500E98">
        <w:rPr>
          <w:rFonts w:ascii="Calibri" w:eastAsia="Calibri" w:hAnsi="Calibri" w:cs="Times New Roman"/>
          <w:lang w:val="es-ES"/>
        </w:rPr>
        <w:t>4</w:t>
      </w:r>
      <w:r>
        <w:rPr>
          <w:rFonts w:ascii="Calibri" w:eastAsia="Calibri" w:hAnsi="Calibri" w:cs="Times New Roman"/>
          <w:lang w:val="es-ES"/>
        </w:rPr>
        <w:t xml:space="preserve">. En él se aprecia que </w:t>
      </w:r>
      <w:r w:rsidR="00C91BA5">
        <w:rPr>
          <w:rFonts w:ascii="Calibri" w:eastAsia="Calibri" w:hAnsi="Calibri" w:cs="Times New Roman"/>
          <w:lang w:val="es-ES"/>
        </w:rPr>
        <w:t xml:space="preserve">la mayor parte de los beneficiarios llevan 3 años o más en los cargos por cuyo desempeño postularon y obtuvieron el beneficio: nada menos que </w:t>
      </w:r>
      <w:r w:rsidR="00AC05E7">
        <w:rPr>
          <w:rFonts w:ascii="Calibri" w:eastAsia="Calibri" w:hAnsi="Calibri" w:cs="Times New Roman"/>
          <w:lang w:val="es-ES"/>
        </w:rPr>
        <w:t>69 de 90</w:t>
      </w:r>
      <w:r w:rsidR="00C91BA5">
        <w:rPr>
          <w:rFonts w:ascii="Calibri" w:eastAsia="Calibri" w:hAnsi="Calibri" w:cs="Times New Roman"/>
          <w:lang w:val="es-ES"/>
        </w:rPr>
        <w:t>. Esto implica una interpretación errada del texto de la Ley</w:t>
      </w:r>
      <w:r w:rsidR="003508BE">
        <w:rPr>
          <w:rFonts w:ascii="Calibri" w:eastAsia="Calibri" w:hAnsi="Calibri" w:cs="Times New Roman"/>
          <w:lang w:val="es-ES"/>
        </w:rPr>
        <w:t>,</w:t>
      </w:r>
      <w:r w:rsidR="00C91BA5">
        <w:rPr>
          <w:rFonts w:ascii="Calibri" w:eastAsia="Calibri" w:hAnsi="Calibri" w:cs="Times New Roman"/>
          <w:lang w:val="es-ES"/>
        </w:rPr>
        <w:t xml:space="preserve"> que indica que serán beneficiarios los profesionales </w:t>
      </w:r>
      <w:r w:rsidR="00C91BA5" w:rsidRPr="003508BE">
        <w:rPr>
          <w:rFonts w:ascii="Calibri" w:eastAsia="Calibri" w:hAnsi="Calibri" w:cs="Times New Roman"/>
          <w:i/>
          <w:lang w:val="es-ES"/>
        </w:rPr>
        <w:t>que se incorporen a sus funciones una vez entrada en vigencia la norma</w:t>
      </w:r>
      <w:r w:rsidR="00C91BA5">
        <w:rPr>
          <w:rFonts w:ascii="Calibri" w:eastAsia="Calibri" w:hAnsi="Calibri" w:cs="Times New Roman"/>
          <w:lang w:val="es-ES"/>
        </w:rPr>
        <w:t>. Y la ley sólo tiene 3 años de vigencia.</w:t>
      </w:r>
    </w:p>
    <w:p w:rsidR="00BD6C11" w:rsidRDefault="00BD6C11" w:rsidP="00682A1A">
      <w:pPr>
        <w:spacing w:after="0" w:line="240" w:lineRule="auto"/>
        <w:jc w:val="both"/>
        <w:rPr>
          <w:rFonts w:ascii="Calibri" w:eastAsia="Calibri" w:hAnsi="Calibri" w:cs="Times New Roman"/>
          <w:lang w:val="es-ES"/>
        </w:rPr>
      </w:pPr>
    </w:p>
    <w:p w:rsidR="00C91BA5" w:rsidRDefault="00C91BA5" w:rsidP="00682A1A">
      <w:pPr>
        <w:spacing w:after="0" w:line="240" w:lineRule="auto"/>
        <w:jc w:val="both"/>
        <w:rPr>
          <w:rFonts w:ascii="Calibri" w:eastAsia="Calibri" w:hAnsi="Calibri" w:cs="Times New Roman"/>
          <w:lang w:val="es-ES"/>
        </w:rPr>
      </w:pPr>
      <w:r>
        <w:rPr>
          <w:rFonts w:ascii="Calibri" w:eastAsia="Calibri" w:hAnsi="Calibri" w:cs="Times New Roman"/>
          <w:lang w:val="es-ES"/>
        </w:rPr>
        <w:t xml:space="preserve">Lo único que podría explicar lo anterior es que se considere que un profesional a contrata o a honorarios es </w:t>
      </w:r>
      <w:r w:rsidR="003508BE">
        <w:rPr>
          <w:rFonts w:ascii="Calibri" w:eastAsia="Calibri" w:hAnsi="Calibri" w:cs="Times New Roman"/>
          <w:lang w:val="es-ES"/>
        </w:rPr>
        <w:t>re-</w:t>
      </w:r>
      <w:r>
        <w:rPr>
          <w:rFonts w:ascii="Calibri" w:eastAsia="Calibri" w:hAnsi="Calibri" w:cs="Times New Roman"/>
          <w:lang w:val="es-ES"/>
        </w:rPr>
        <w:t>contratado anualmente</w:t>
      </w:r>
      <w:r w:rsidR="003508BE">
        <w:rPr>
          <w:rFonts w:ascii="Calibri" w:eastAsia="Calibri" w:hAnsi="Calibri" w:cs="Times New Roman"/>
          <w:lang w:val="es-ES"/>
        </w:rPr>
        <w:t xml:space="preserve"> (su contrato, en efecto, se renueva cada año)</w:t>
      </w:r>
      <w:r>
        <w:rPr>
          <w:rFonts w:ascii="Calibri" w:eastAsia="Calibri" w:hAnsi="Calibri" w:cs="Times New Roman"/>
          <w:lang w:val="es-ES"/>
        </w:rPr>
        <w:t>, por lo que sí cumpliría con “incorporarse” a sus funciones después de entrada en vigencia la ley</w:t>
      </w:r>
      <w:r w:rsidR="003508BE">
        <w:rPr>
          <w:rFonts w:ascii="Calibri" w:eastAsia="Calibri" w:hAnsi="Calibri" w:cs="Times New Roman"/>
          <w:lang w:val="es-ES"/>
        </w:rPr>
        <w:t xml:space="preserve"> (al inicio de cada año de desempeño)</w:t>
      </w:r>
      <w:r>
        <w:rPr>
          <w:rFonts w:ascii="Calibri" w:eastAsia="Calibri" w:hAnsi="Calibri" w:cs="Times New Roman"/>
          <w:lang w:val="es-ES"/>
        </w:rPr>
        <w:t>. Pero</w:t>
      </w:r>
      <w:r w:rsidR="00AC05E7">
        <w:rPr>
          <w:rFonts w:ascii="Calibri" w:eastAsia="Calibri" w:hAnsi="Calibri" w:cs="Times New Roman"/>
          <w:lang w:val="es-ES"/>
        </w:rPr>
        <w:t>, si bien en rigor esto podría llegar a considerarse legal, es una interpretación bastante rebuscada y</w:t>
      </w:r>
      <w:r>
        <w:rPr>
          <w:rFonts w:ascii="Calibri" w:eastAsia="Calibri" w:hAnsi="Calibri" w:cs="Times New Roman"/>
          <w:lang w:val="es-ES"/>
        </w:rPr>
        <w:t xml:space="preserve"> claramente </w:t>
      </w:r>
      <w:r w:rsidR="00C964F0">
        <w:rPr>
          <w:rFonts w:ascii="Calibri" w:eastAsia="Calibri" w:hAnsi="Calibri" w:cs="Times New Roman"/>
          <w:lang w:val="es-ES"/>
        </w:rPr>
        <w:t>se</w:t>
      </w:r>
      <w:r w:rsidR="00AC05E7">
        <w:rPr>
          <w:rFonts w:ascii="Calibri" w:eastAsia="Calibri" w:hAnsi="Calibri" w:cs="Times New Roman"/>
          <w:lang w:val="es-ES"/>
        </w:rPr>
        <w:t xml:space="preserve"> aparta del espíritu de la Ley</w:t>
      </w:r>
      <w:r w:rsidR="00655262">
        <w:rPr>
          <w:rFonts w:ascii="Calibri" w:eastAsia="Calibri" w:hAnsi="Calibri" w:cs="Times New Roman"/>
          <w:lang w:val="es-ES"/>
        </w:rPr>
        <w:t xml:space="preserve"> </w:t>
      </w:r>
      <w:r w:rsidR="00AC05E7">
        <w:rPr>
          <w:rFonts w:ascii="Calibri" w:eastAsia="Calibri" w:hAnsi="Calibri" w:cs="Times New Roman"/>
          <w:lang w:val="es-ES"/>
        </w:rPr>
        <w:t>(e</w:t>
      </w:r>
      <w:r w:rsidR="00655262">
        <w:rPr>
          <w:rFonts w:ascii="Calibri" w:eastAsia="Calibri" w:hAnsi="Calibri" w:cs="Times New Roman"/>
          <w:lang w:val="es-ES"/>
        </w:rPr>
        <w:t>sto</w:t>
      </w:r>
      <w:r>
        <w:rPr>
          <w:rFonts w:ascii="Calibri" w:eastAsia="Calibri" w:hAnsi="Calibri" w:cs="Times New Roman"/>
          <w:lang w:val="es-ES"/>
        </w:rPr>
        <w:t xml:space="preserve"> ya fue mencionado en el punto 3.3 de este informe</w:t>
      </w:r>
      <w:r w:rsidR="00AC05E7">
        <w:rPr>
          <w:rFonts w:ascii="Calibri" w:eastAsia="Calibri" w:hAnsi="Calibri" w:cs="Times New Roman"/>
          <w:lang w:val="es-ES"/>
        </w:rPr>
        <w:t>)</w:t>
      </w:r>
      <w:r>
        <w:rPr>
          <w:rFonts w:ascii="Calibri" w:eastAsia="Calibri" w:hAnsi="Calibri" w:cs="Times New Roman"/>
          <w:lang w:val="es-ES"/>
        </w:rPr>
        <w:t>.</w:t>
      </w:r>
    </w:p>
    <w:p w:rsidR="00BD6C11" w:rsidRDefault="00BD6C11">
      <w:pPr>
        <w:rPr>
          <w:rFonts w:ascii="Calibri" w:eastAsia="Calibri" w:hAnsi="Calibri" w:cs="Times New Roman"/>
          <w:b/>
          <w:lang w:val="es-ES"/>
        </w:rPr>
      </w:pPr>
      <w:r>
        <w:rPr>
          <w:rFonts w:ascii="Calibri" w:eastAsia="Calibri" w:hAnsi="Calibri" w:cs="Times New Roman"/>
          <w:b/>
          <w:lang w:val="es-ES"/>
        </w:rPr>
        <w:br w:type="page"/>
      </w:r>
    </w:p>
    <w:p w:rsidR="00C36C6C" w:rsidRPr="00C36C6C" w:rsidRDefault="00C36C6C" w:rsidP="00682A1A">
      <w:pPr>
        <w:spacing w:after="0" w:line="240" w:lineRule="auto"/>
        <w:jc w:val="center"/>
        <w:rPr>
          <w:rFonts w:ascii="Calibri" w:eastAsia="Calibri" w:hAnsi="Calibri" w:cs="Times New Roman"/>
          <w:b/>
          <w:lang w:val="es-ES"/>
        </w:rPr>
      </w:pPr>
      <w:r w:rsidRPr="00C36C6C">
        <w:rPr>
          <w:rFonts w:ascii="Calibri" w:eastAsia="Calibri" w:hAnsi="Calibri" w:cs="Times New Roman"/>
          <w:b/>
          <w:lang w:val="es-ES"/>
        </w:rPr>
        <w:lastRenderedPageBreak/>
        <w:t>GR</w:t>
      </w:r>
      <w:r>
        <w:rPr>
          <w:rFonts w:ascii="Calibri" w:eastAsia="Calibri" w:hAnsi="Calibri" w:cs="Times New Roman"/>
          <w:b/>
          <w:lang w:val="es-ES"/>
        </w:rPr>
        <w:t>Á</w:t>
      </w:r>
      <w:r w:rsidRPr="00C36C6C">
        <w:rPr>
          <w:rFonts w:ascii="Calibri" w:eastAsia="Calibri" w:hAnsi="Calibri" w:cs="Times New Roman"/>
          <w:b/>
          <w:lang w:val="es-ES"/>
        </w:rPr>
        <w:t xml:space="preserve">FICO Nº </w:t>
      </w:r>
      <w:r w:rsidR="00500E98">
        <w:rPr>
          <w:rFonts w:ascii="Calibri" w:eastAsia="Calibri" w:hAnsi="Calibri" w:cs="Times New Roman"/>
          <w:b/>
          <w:lang w:val="es-ES"/>
        </w:rPr>
        <w:t>14</w:t>
      </w:r>
      <w:r w:rsidRPr="00C36C6C">
        <w:rPr>
          <w:rFonts w:ascii="Calibri" w:eastAsia="Calibri" w:hAnsi="Calibri" w:cs="Times New Roman"/>
          <w:b/>
          <w:lang w:val="es-ES"/>
        </w:rPr>
        <w:t>:</w:t>
      </w:r>
    </w:p>
    <w:p w:rsidR="00C36C6C" w:rsidRPr="00C36C6C" w:rsidRDefault="00C36C6C" w:rsidP="00682A1A">
      <w:pPr>
        <w:spacing w:after="0" w:line="240" w:lineRule="auto"/>
        <w:jc w:val="center"/>
        <w:rPr>
          <w:rFonts w:ascii="Calibri" w:eastAsia="Calibri" w:hAnsi="Calibri" w:cs="Times New Roman"/>
          <w:b/>
          <w:lang w:val="es-ES"/>
        </w:rPr>
      </w:pPr>
      <w:r w:rsidRPr="00C36C6C">
        <w:rPr>
          <w:rFonts w:ascii="Calibri" w:eastAsia="Calibri" w:hAnsi="Calibri" w:cs="Times New Roman"/>
          <w:b/>
          <w:lang w:val="es-ES"/>
        </w:rPr>
        <w:t>AÑOS DE DESEMPEÑO EN EL PUESTO</w:t>
      </w:r>
    </w:p>
    <w:p w:rsidR="009A5A92" w:rsidRPr="00E71005" w:rsidRDefault="009A5A92" w:rsidP="00682A1A">
      <w:pPr>
        <w:spacing w:after="0" w:line="240" w:lineRule="auto"/>
        <w:jc w:val="center"/>
        <w:rPr>
          <w:rFonts w:ascii="Calibri" w:eastAsia="Calibri" w:hAnsi="Calibri" w:cs="Times New Roman"/>
        </w:rPr>
      </w:pPr>
      <w:r w:rsidRPr="00187F70">
        <w:rPr>
          <w:rFonts w:ascii="Calibri" w:eastAsia="Calibri" w:hAnsi="Calibri" w:cs="Times New Roman"/>
          <w:noProof/>
          <w:lang w:eastAsia="es-CL"/>
        </w:rPr>
        <w:drawing>
          <wp:inline distT="0" distB="0" distL="0" distR="0" wp14:anchorId="029D9075" wp14:editId="71BB974B">
            <wp:extent cx="4580626" cy="2475781"/>
            <wp:effectExtent l="0" t="0" r="10795" b="20320"/>
            <wp:docPr id="43" name="Gráfico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3E201E" w:rsidRDefault="003E201E" w:rsidP="00682A1A">
      <w:pPr>
        <w:spacing w:after="0" w:line="240" w:lineRule="auto"/>
        <w:jc w:val="both"/>
        <w:rPr>
          <w:rFonts w:ascii="Calibri" w:eastAsia="Calibri" w:hAnsi="Calibri" w:cs="Times New Roman"/>
          <w:lang w:val="es-ES"/>
        </w:rPr>
      </w:pPr>
    </w:p>
    <w:p w:rsidR="00C55B61" w:rsidRPr="009B6D95" w:rsidRDefault="00C55B61" w:rsidP="009B6D95">
      <w:pPr>
        <w:pStyle w:val="Ttulo2"/>
      </w:pPr>
      <w:bookmarkStart w:id="28" w:name="_Toc341866729"/>
      <w:r w:rsidRPr="009B6D95">
        <w:t>Motivación</w:t>
      </w:r>
      <w:bookmarkEnd w:id="28"/>
    </w:p>
    <w:p w:rsidR="00C55B61" w:rsidRDefault="00C55B61" w:rsidP="00682A1A">
      <w:pPr>
        <w:spacing w:after="0" w:line="240" w:lineRule="auto"/>
        <w:jc w:val="both"/>
        <w:rPr>
          <w:rFonts w:ascii="Calibri" w:eastAsia="Calibri" w:hAnsi="Calibri" w:cs="Times New Roman"/>
          <w:lang w:val="es-ES"/>
        </w:rPr>
      </w:pPr>
    </w:p>
    <w:p w:rsidR="00F2198F" w:rsidRDefault="000D0982" w:rsidP="00682A1A">
      <w:pPr>
        <w:spacing w:after="0" w:line="240" w:lineRule="auto"/>
        <w:jc w:val="both"/>
        <w:rPr>
          <w:rFonts w:ascii="Calibri" w:eastAsia="Calibri" w:hAnsi="Calibri" w:cs="Times New Roman"/>
          <w:lang w:val="es-ES"/>
        </w:rPr>
      </w:pPr>
      <w:r>
        <w:rPr>
          <w:rFonts w:ascii="Calibri" w:eastAsia="Calibri" w:hAnsi="Calibri" w:cs="Times New Roman"/>
          <w:lang w:val="es-ES"/>
        </w:rPr>
        <w:t xml:space="preserve">El Gráfico Nº </w:t>
      </w:r>
      <w:r w:rsidR="00500E98">
        <w:rPr>
          <w:rFonts w:ascii="Calibri" w:eastAsia="Calibri" w:hAnsi="Calibri" w:cs="Times New Roman"/>
          <w:lang w:val="es-ES"/>
        </w:rPr>
        <w:t>15</w:t>
      </w:r>
      <w:r>
        <w:rPr>
          <w:rFonts w:ascii="Calibri" w:eastAsia="Calibri" w:hAnsi="Calibri" w:cs="Times New Roman"/>
          <w:lang w:val="es-ES"/>
        </w:rPr>
        <w:t xml:space="preserve"> ilustra las respuestas a la pregunta (abierta) acerca de la motivación </w:t>
      </w:r>
      <w:r w:rsidR="003E201E">
        <w:rPr>
          <w:rFonts w:ascii="Calibri" w:eastAsia="Calibri" w:hAnsi="Calibri" w:cs="Times New Roman"/>
          <w:lang w:val="es-ES"/>
        </w:rPr>
        <w:t>para trabajar en una comuna vulnerable. Las categorías se podrían agrupar en dos: el compromiso con la sociedad y la búsqueda de beneficios personales. En el primer grupo aparecen 53 casos (37+16) y en el segundo 36 (22+14).</w:t>
      </w:r>
    </w:p>
    <w:p w:rsidR="003E201E" w:rsidRDefault="003E201E" w:rsidP="00682A1A">
      <w:pPr>
        <w:spacing w:after="0" w:line="240" w:lineRule="auto"/>
        <w:rPr>
          <w:rFonts w:ascii="Calibri" w:eastAsia="Calibri" w:hAnsi="Calibri" w:cs="Times New Roman"/>
          <w:lang w:val="es-ES"/>
        </w:rPr>
      </w:pPr>
    </w:p>
    <w:p w:rsidR="00F2198F" w:rsidRPr="003E201E" w:rsidRDefault="00500E98" w:rsidP="00682A1A">
      <w:pPr>
        <w:spacing w:after="0" w:line="240" w:lineRule="auto"/>
        <w:jc w:val="center"/>
        <w:rPr>
          <w:rFonts w:ascii="Calibri" w:eastAsia="Calibri" w:hAnsi="Calibri" w:cs="Times New Roman"/>
          <w:b/>
          <w:lang w:val="es-ES"/>
        </w:rPr>
      </w:pPr>
      <w:r>
        <w:rPr>
          <w:rFonts w:ascii="Calibri" w:eastAsia="Calibri" w:hAnsi="Calibri" w:cs="Times New Roman"/>
          <w:b/>
          <w:lang w:val="es-ES"/>
        </w:rPr>
        <w:t>GRÁFICO Nº 15</w:t>
      </w:r>
      <w:r w:rsidR="003E201E" w:rsidRPr="003E201E">
        <w:rPr>
          <w:rFonts w:ascii="Calibri" w:eastAsia="Calibri" w:hAnsi="Calibri" w:cs="Times New Roman"/>
          <w:b/>
          <w:lang w:val="es-ES"/>
        </w:rPr>
        <w:t>:</w:t>
      </w:r>
    </w:p>
    <w:p w:rsidR="003E201E" w:rsidRPr="003E201E" w:rsidRDefault="003E201E" w:rsidP="00682A1A">
      <w:pPr>
        <w:spacing w:after="0" w:line="240" w:lineRule="auto"/>
        <w:jc w:val="center"/>
        <w:rPr>
          <w:rFonts w:ascii="Calibri" w:eastAsia="Calibri" w:hAnsi="Calibri" w:cs="Times New Roman"/>
          <w:b/>
          <w:lang w:val="es-ES"/>
        </w:rPr>
      </w:pPr>
      <w:r w:rsidRPr="003E201E">
        <w:rPr>
          <w:rFonts w:ascii="Calibri" w:eastAsia="Calibri" w:hAnsi="Calibri" w:cs="Times New Roman"/>
          <w:b/>
          <w:lang w:val="es-ES"/>
        </w:rPr>
        <w:t>MOTIVACIÓN PARA TRABAJAR EN UNA COMUNA VULNERABLE</w:t>
      </w:r>
    </w:p>
    <w:p w:rsidR="00F2198F" w:rsidRDefault="00F2198F" w:rsidP="00682A1A">
      <w:pPr>
        <w:spacing w:after="0" w:line="240" w:lineRule="auto"/>
        <w:ind w:left="284"/>
        <w:jc w:val="center"/>
        <w:rPr>
          <w:rFonts w:ascii="Calibri" w:eastAsia="Calibri" w:hAnsi="Calibri" w:cs="Times New Roman"/>
          <w:lang w:val="es-ES"/>
        </w:rPr>
      </w:pPr>
      <w:r>
        <w:rPr>
          <w:rFonts w:ascii="Calibri" w:eastAsia="Calibri" w:hAnsi="Calibri" w:cs="Times New Roman"/>
          <w:noProof/>
          <w:lang w:eastAsia="es-CL"/>
        </w:rPr>
        <w:drawing>
          <wp:inline distT="0" distB="0" distL="0" distR="0" wp14:anchorId="44A7FA54" wp14:editId="7B3B5070">
            <wp:extent cx="4598035" cy="2769235"/>
            <wp:effectExtent l="0" t="0" r="12065" b="12065"/>
            <wp:docPr id="13" name="Gráfico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636B5" w:rsidRPr="002B4B64" w:rsidRDefault="00F636B5" w:rsidP="00F636B5">
      <w:pPr>
        <w:spacing w:after="0" w:line="240" w:lineRule="auto"/>
        <w:ind w:left="284"/>
        <w:jc w:val="center"/>
        <w:rPr>
          <w:sz w:val="18"/>
          <w:szCs w:val="18"/>
          <w:lang w:val="es-ES"/>
        </w:rPr>
      </w:pPr>
      <w:r w:rsidRPr="002B4B64">
        <w:rPr>
          <w:sz w:val="18"/>
          <w:szCs w:val="18"/>
          <w:lang w:val="es-ES"/>
        </w:rPr>
        <w:t xml:space="preserve">Fuente: </w:t>
      </w:r>
      <w:r>
        <w:rPr>
          <w:sz w:val="18"/>
          <w:szCs w:val="18"/>
          <w:lang w:val="es-ES"/>
        </w:rPr>
        <w:t>Elaboración propia en base a e</w:t>
      </w:r>
      <w:r w:rsidRPr="002B4B64">
        <w:rPr>
          <w:sz w:val="18"/>
          <w:szCs w:val="18"/>
          <w:lang w:val="es-ES"/>
        </w:rPr>
        <w:t>ncuesta</w:t>
      </w:r>
      <w:r>
        <w:rPr>
          <w:sz w:val="18"/>
          <w:szCs w:val="18"/>
          <w:lang w:val="es-ES"/>
        </w:rPr>
        <w:t>.</w:t>
      </w:r>
    </w:p>
    <w:p w:rsidR="000D3C12" w:rsidRPr="00F636B5" w:rsidRDefault="000D3C12" w:rsidP="00682A1A">
      <w:pPr>
        <w:pStyle w:val="Prrafodelista"/>
        <w:spacing w:after="0" w:line="240" w:lineRule="auto"/>
        <w:ind w:left="360"/>
        <w:jc w:val="both"/>
        <w:rPr>
          <w:b/>
          <w:lang w:val="es-ES"/>
        </w:rPr>
      </w:pPr>
    </w:p>
    <w:p w:rsidR="00BD6C11" w:rsidRDefault="00BD6C11">
      <w:pPr>
        <w:rPr>
          <w:b/>
        </w:rPr>
      </w:pPr>
      <w:r>
        <w:rPr>
          <w:b/>
        </w:rPr>
        <w:br w:type="page"/>
      </w:r>
    </w:p>
    <w:p w:rsidR="00F575E9" w:rsidRPr="009B6D95" w:rsidRDefault="00F575E9" w:rsidP="009B6D95">
      <w:pPr>
        <w:pStyle w:val="Ttulo1"/>
        <w:numPr>
          <w:ilvl w:val="0"/>
          <w:numId w:val="5"/>
        </w:numPr>
      </w:pPr>
      <w:bookmarkStart w:id="29" w:name="_Toc341866730"/>
      <w:r w:rsidRPr="009B6D95">
        <w:lastRenderedPageBreak/>
        <w:t>COBERTURAS</w:t>
      </w:r>
      <w:r w:rsidR="00E2019F" w:rsidRPr="009B6D95">
        <w:t xml:space="preserve"> Y FOCALIZACIÓN</w:t>
      </w:r>
      <w:bookmarkEnd w:id="29"/>
    </w:p>
    <w:p w:rsidR="00D365BD" w:rsidRPr="00D365BD" w:rsidRDefault="00D365BD" w:rsidP="00D365BD">
      <w:pPr>
        <w:spacing w:after="0" w:line="240" w:lineRule="auto"/>
        <w:jc w:val="both"/>
        <w:rPr>
          <w:b/>
        </w:rPr>
      </w:pPr>
    </w:p>
    <w:p w:rsidR="00F575E9" w:rsidRPr="009B6D95" w:rsidRDefault="00AA0F20" w:rsidP="009B6D95">
      <w:pPr>
        <w:pStyle w:val="Ttulo2"/>
      </w:pPr>
      <w:bookmarkStart w:id="30" w:name="_Toc341866731"/>
      <w:r w:rsidRPr="009B6D95">
        <w:t>Una consideración inicial</w:t>
      </w:r>
      <w:bookmarkEnd w:id="30"/>
    </w:p>
    <w:p w:rsidR="0002588C" w:rsidRDefault="0002588C" w:rsidP="00682A1A">
      <w:pPr>
        <w:spacing w:after="0" w:line="240" w:lineRule="auto"/>
        <w:jc w:val="both"/>
      </w:pPr>
    </w:p>
    <w:p w:rsidR="00636CD9" w:rsidRDefault="00614760" w:rsidP="00682A1A">
      <w:pPr>
        <w:spacing w:after="0" w:line="240" w:lineRule="auto"/>
        <w:jc w:val="both"/>
      </w:pPr>
      <w:r>
        <w:t>Una primera consideración a la hora de evaluar las coberturas de la aplicación de la Ley Nº 20.330</w:t>
      </w:r>
      <w:r w:rsidR="00374023">
        <w:t xml:space="preserve"> es que, como era de esperar en vista de la falta de una responsabilidad institucional única, la información disponible </w:t>
      </w:r>
      <w:r w:rsidR="008F6AC9">
        <w:t xml:space="preserve">sobre los beneficios entregados </w:t>
      </w:r>
      <w:r w:rsidR="00374023">
        <w:t xml:space="preserve">es, por lo menos, imprecisa. </w:t>
      </w:r>
      <w:r w:rsidR="008F6AC9">
        <w:t>Se basa en datos provistos por las intendencias</w:t>
      </w:r>
      <w:r w:rsidR="00374023">
        <w:t xml:space="preserve"> </w:t>
      </w:r>
      <w:r w:rsidR="008F6AC9">
        <w:t>–</w:t>
      </w:r>
      <w:r w:rsidR="00374023">
        <w:t>en distintos formatos,</w:t>
      </w:r>
      <w:r w:rsidR="008F6AC9">
        <w:t xml:space="preserve"> con distintos campos de datos </w:t>
      </w:r>
      <w:r w:rsidR="00374023">
        <w:t>irregularmente comple</w:t>
      </w:r>
      <w:r w:rsidR="008F6AC9">
        <w:t>tos–, posteriormente contrastados con la información de pagos entregada por Tesorería. Hay muchas inconsistencias entre las dos fuentes, lo que también responde a que ambas bases de información tienen utilidades distintas.</w:t>
      </w:r>
    </w:p>
    <w:p w:rsidR="00D365BD" w:rsidRDefault="00D365BD" w:rsidP="00682A1A">
      <w:pPr>
        <w:spacing w:after="0" w:line="240" w:lineRule="auto"/>
        <w:jc w:val="both"/>
      </w:pPr>
    </w:p>
    <w:p w:rsidR="00636CD9" w:rsidRDefault="008F6AC9" w:rsidP="00682A1A">
      <w:pPr>
        <w:spacing w:after="0" w:line="240" w:lineRule="auto"/>
        <w:jc w:val="both"/>
      </w:pPr>
      <w:r>
        <w:t xml:space="preserve">Sin perjuicio de lo anterior, fue posible construir una base de datos única que, con </w:t>
      </w:r>
      <w:r w:rsidR="009A3460">
        <w:t xml:space="preserve">algún </w:t>
      </w:r>
      <w:r>
        <w:t>margen de</w:t>
      </w:r>
      <w:r w:rsidR="009A3460">
        <w:t xml:space="preserve"> error (que lamentablemente no podemos calificar con precisión)</w:t>
      </w:r>
      <w:r>
        <w:t>, permite visualizar las coberturas a nivel regional y nacional, a lo menos.</w:t>
      </w:r>
    </w:p>
    <w:p w:rsidR="00D365BD" w:rsidRDefault="00D365BD" w:rsidP="00682A1A">
      <w:pPr>
        <w:spacing w:after="0" w:line="240" w:lineRule="auto"/>
        <w:jc w:val="both"/>
      </w:pPr>
    </w:p>
    <w:p w:rsidR="00AA0F20" w:rsidRPr="009B6D95" w:rsidRDefault="00AA0F20" w:rsidP="009B6D95">
      <w:pPr>
        <w:pStyle w:val="Ttulo2"/>
      </w:pPr>
      <w:bookmarkStart w:id="31" w:name="_Toc341866732"/>
      <w:r w:rsidRPr="009B6D95">
        <w:t xml:space="preserve">Comunas </w:t>
      </w:r>
      <w:r w:rsidR="00CE27DC" w:rsidRPr="009B6D95">
        <w:t>elegibles por decreto</w:t>
      </w:r>
      <w:r w:rsidRPr="009B6D95">
        <w:t xml:space="preserve"> versus comunas </w:t>
      </w:r>
      <w:r w:rsidR="00CE27DC" w:rsidRPr="009B6D95">
        <w:t>efectivamente beneficiadas</w:t>
      </w:r>
      <w:bookmarkEnd w:id="31"/>
    </w:p>
    <w:p w:rsidR="00D365BD" w:rsidRPr="00D365BD" w:rsidRDefault="00D365BD" w:rsidP="00D365BD">
      <w:pPr>
        <w:spacing w:after="0" w:line="240" w:lineRule="auto"/>
        <w:jc w:val="both"/>
        <w:rPr>
          <w:b/>
        </w:rPr>
      </w:pPr>
    </w:p>
    <w:p w:rsidR="00AA0F20" w:rsidRDefault="00AA0F20" w:rsidP="00682A1A">
      <w:pPr>
        <w:spacing w:after="0" w:line="240" w:lineRule="auto"/>
        <w:jc w:val="both"/>
      </w:pPr>
      <w:r>
        <w:t>El cuadr</w:t>
      </w:r>
      <w:r w:rsidR="00562F29">
        <w:t xml:space="preserve">o siguiente resume la cobertura </w:t>
      </w:r>
      <w:r w:rsidR="009551EC">
        <w:t xml:space="preserve">regional y nacional </w:t>
      </w:r>
      <w:r>
        <w:t xml:space="preserve">proyectada por los decretos </w:t>
      </w:r>
      <w:r w:rsidR="009551EC">
        <w:t xml:space="preserve">que anualmente </w:t>
      </w:r>
      <w:r>
        <w:t xml:space="preserve">establecen </w:t>
      </w:r>
      <w:r w:rsidR="009551EC">
        <w:t xml:space="preserve">el listado de </w:t>
      </w:r>
      <w:r>
        <w:t>comunas con menores niveles de desarrollo</w:t>
      </w:r>
      <w:r w:rsidR="00941F06">
        <w:t>, contrastando ese</w:t>
      </w:r>
      <w:r w:rsidR="009551EC">
        <w:t xml:space="preserve"> dato con</w:t>
      </w:r>
      <w:r>
        <w:t xml:space="preserve"> </w:t>
      </w:r>
      <w:r w:rsidR="00562F29">
        <w:t>el número de comunas en que efectivamente se utilizó el beneficio.</w:t>
      </w:r>
    </w:p>
    <w:p w:rsidR="00D365BD" w:rsidRDefault="00D365BD" w:rsidP="00682A1A">
      <w:pPr>
        <w:spacing w:after="0" w:line="240" w:lineRule="auto"/>
        <w:jc w:val="both"/>
      </w:pPr>
    </w:p>
    <w:p w:rsidR="00D365BD" w:rsidRPr="00D365BD" w:rsidRDefault="00D365BD" w:rsidP="00D365BD">
      <w:pPr>
        <w:spacing w:after="0" w:line="240" w:lineRule="auto"/>
        <w:jc w:val="center"/>
        <w:rPr>
          <w:b/>
        </w:rPr>
      </w:pPr>
      <w:r w:rsidRPr="00D365BD">
        <w:rPr>
          <w:b/>
        </w:rPr>
        <w:t>CUADRO Nº 2:</w:t>
      </w:r>
    </w:p>
    <w:p w:rsidR="00D365BD" w:rsidRPr="00D365BD" w:rsidRDefault="00D365BD" w:rsidP="00D365BD">
      <w:pPr>
        <w:spacing w:after="0" w:line="240" w:lineRule="auto"/>
        <w:jc w:val="center"/>
        <w:rPr>
          <w:b/>
        </w:rPr>
      </w:pPr>
      <w:r w:rsidRPr="00D365BD">
        <w:rPr>
          <w:b/>
        </w:rPr>
        <w:t>COMUNAS BENEFICIARIAS (POR DECRETO ANUAL) Y COMUNAS BENEFICIADAS</w:t>
      </w:r>
    </w:p>
    <w:tbl>
      <w:tblPr>
        <w:tblStyle w:val="Sombreadomedio1-nfasis11"/>
        <w:tblW w:w="9653" w:type="dxa"/>
        <w:tblInd w:w="-459" w:type="dxa"/>
        <w:tblLook w:val="04E0" w:firstRow="1" w:lastRow="1" w:firstColumn="1" w:lastColumn="0" w:noHBand="0" w:noVBand="1"/>
      </w:tblPr>
      <w:tblGrid>
        <w:gridCol w:w="1964"/>
        <w:gridCol w:w="1484"/>
        <w:gridCol w:w="1868"/>
        <w:gridCol w:w="1289"/>
        <w:gridCol w:w="1362"/>
        <w:gridCol w:w="1686"/>
      </w:tblGrid>
      <w:tr w:rsidR="00AA0F20" w:rsidRPr="00F606C7" w:rsidTr="00226CE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vMerge w:val="restart"/>
            <w:tcBorders>
              <w:top w:val="single" w:sz="4" w:space="0" w:color="auto"/>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Región</w:t>
            </w:r>
          </w:p>
        </w:tc>
        <w:tc>
          <w:tcPr>
            <w:tcW w:w="3352" w:type="dxa"/>
            <w:gridSpan w:val="2"/>
            <w:tcBorders>
              <w:top w:val="single" w:sz="4" w:space="0" w:color="auto"/>
              <w:left w:val="single" w:sz="4" w:space="0" w:color="auto"/>
              <w:right w:val="single" w:sz="4" w:space="0" w:color="auto"/>
            </w:tcBorders>
            <w:noWrap/>
            <w:vAlign w:val="center"/>
            <w:hideMark/>
          </w:tcPr>
          <w:p w:rsidR="00AA0F20" w:rsidRPr="00F606C7" w:rsidRDefault="00AA0F20"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Año 2010</w:t>
            </w:r>
          </w:p>
        </w:tc>
        <w:tc>
          <w:tcPr>
            <w:tcW w:w="2651" w:type="dxa"/>
            <w:gridSpan w:val="2"/>
            <w:tcBorders>
              <w:top w:val="single" w:sz="4" w:space="0" w:color="auto"/>
              <w:left w:val="single" w:sz="4" w:space="0" w:color="auto"/>
              <w:right w:val="single" w:sz="4" w:space="0" w:color="auto"/>
            </w:tcBorders>
            <w:noWrap/>
            <w:vAlign w:val="center"/>
            <w:hideMark/>
          </w:tcPr>
          <w:p w:rsidR="00AA0F20" w:rsidRPr="00F606C7" w:rsidRDefault="00AA0F20"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Año 2011</w:t>
            </w:r>
          </w:p>
        </w:tc>
        <w:tc>
          <w:tcPr>
            <w:tcW w:w="1686" w:type="dxa"/>
            <w:tcBorders>
              <w:top w:val="single" w:sz="4" w:space="0" w:color="auto"/>
              <w:left w:val="single" w:sz="4" w:space="0" w:color="auto"/>
              <w:right w:val="single" w:sz="4" w:space="0" w:color="auto"/>
            </w:tcBorders>
            <w:noWrap/>
            <w:vAlign w:val="center"/>
            <w:hideMark/>
          </w:tcPr>
          <w:p w:rsidR="00AA0F20" w:rsidRPr="00F606C7" w:rsidRDefault="00AA0F20"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Año 2012</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vMerge/>
            <w:tcBorders>
              <w:left w:val="single" w:sz="4" w:space="0" w:color="auto"/>
              <w:right w:val="single" w:sz="4" w:space="0" w:color="auto"/>
            </w:tcBorders>
            <w:noWrap/>
            <w:hideMark/>
          </w:tcPr>
          <w:p w:rsidR="00AA0F20" w:rsidRPr="00F606C7" w:rsidRDefault="00AA0F20" w:rsidP="00682A1A">
            <w:pPr>
              <w:jc w:val="both"/>
              <w:rPr>
                <w:rFonts w:ascii="Arial" w:hAnsi="Arial" w:cs="Arial"/>
                <w:sz w:val="20"/>
                <w:szCs w:val="20"/>
              </w:rPr>
            </w:pP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C</w:t>
            </w:r>
            <w:r w:rsidRPr="00F606C7">
              <w:rPr>
                <w:rFonts w:ascii="Arial" w:hAnsi="Arial" w:cs="Arial"/>
                <w:sz w:val="20"/>
                <w:szCs w:val="20"/>
              </w:rPr>
              <w:t>omunas Decretadas</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Comunas Beneficiadas</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Comunas Decretada</w:t>
            </w:r>
            <w:r w:rsidRPr="00F606C7">
              <w:rPr>
                <w:rFonts w:ascii="Arial" w:hAnsi="Arial" w:cs="Arial"/>
                <w:sz w:val="20"/>
                <w:szCs w:val="20"/>
              </w:rPr>
              <w:t>s</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Comunas Beneficiadas</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Comunas Decretada</w:t>
            </w:r>
            <w:r w:rsidRPr="00F606C7">
              <w:rPr>
                <w:rFonts w:ascii="Arial" w:hAnsi="Arial" w:cs="Arial"/>
                <w:sz w:val="20"/>
                <w:szCs w:val="20"/>
              </w:rPr>
              <w:t>s</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Tarapacá</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1</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4</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6</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Antofagasta</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2</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4</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7</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Atacama</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8</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 xml:space="preserve">Coquimbo </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6</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9</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13</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Valparaíso</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5</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18</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33</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O'Higgins</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11</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26</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6</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31</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Maule</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10</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22</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12</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29</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proofErr w:type="spellStart"/>
            <w:r w:rsidRPr="00F606C7">
              <w:rPr>
                <w:rFonts w:ascii="Arial" w:hAnsi="Arial" w:cs="Arial"/>
                <w:sz w:val="20"/>
                <w:szCs w:val="20"/>
              </w:rPr>
              <w:t>Bio</w:t>
            </w:r>
            <w:proofErr w:type="spellEnd"/>
            <w:r>
              <w:rPr>
                <w:rFonts w:ascii="Arial" w:hAnsi="Arial" w:cs="Arial"/>
                <w:sz w:val="20"/>
                <w:szCs w:val="20"/>
              </w:rPr>
              <w:t xml:space="preserve"> </w:t>
            </w:r>
            <w:proofErr w:type="spellStart"/>
            <w:r w:rsidRPr="00F606C7">
              <w:rPr>
                <w:rFonts w:ascii="Arial" w:hAnsi="Arial" w:cs="Arial"/>
                <w:sz w:val="20"/>
                <w:szCs w:val="20"/>
              </w:rPr>
              <w:t>bio</w:t>
            </w:r>
            <w:proofErr w:type="spellEnd"/>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23</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9</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35</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18</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46</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Araucanía</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17</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6</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26</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10</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31</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Los Lagos</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14</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24</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15</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28</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 xml:space="preserve">Aysén </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4</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5</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4</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9</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Magallanes</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6</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4</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8</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10</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9</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Metropolitana</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5</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26</w:t>
            </w:r>
          </w:p>
        </w:tc>
      </w:tr>
      <w:tr w:rsidR="00AA0F20" w:rsidRPr="00F606C7" w:rsidTr="00226C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De Los Ríos</w:t>
            </w:r>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4</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8</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2</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F606C7">
              <w:rPr>
                <w:rFonts w:ascii="Arial" w:hAnsi="Arial" w:cs="Arial"/>
                <w:sz w:val="20"/>
                <w:szCs w:val="20"/>
              </w:rPr>
              <w:t>11</w:t>
            </w:r>
          </w:p>
        </w:tc>
      </w:tr>
      <w:tr w:rsidR="00AA0F20" w:rsidRPr="00F606C7" w:rsidTr="00226CE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 xml:space="preserve">Arica y </w:t>
            </w:r>
            <w:proofErr w:type="spellStart"/>
            <w:r w:rsidRPr="00F606C7">
              <w:rPr>
                <w:rFonts w:ascii="Arial" w:hAnsi="Arial" w:cs="Arial"/>
                <w:sz w:val="20"/>
                <w:szCs w:val="20"/>
              </w:rPr>
              <w:t>Parinacota</w:t>
            </w:r>
            <w:proofErr w:type="spellEnd"/>
          </w:p>
        </w:tc>
        <w:tc>
          <w:tcPr>
            <w:tcW w:w="1484"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868"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289"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3</w:t>
            </w:r>
          </w:p>
        </w:tc>
        <w:tc>
          <w:tcPr>
            <w:tcW w:w="1362"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0</w:t>
            </w:r>
          </w:p>
        </w:tc>
        <w:tc>
          <w:tcPr>
            <w:tcW w:w="1686" w:type="dxa"/>
            <w:tcBorders>
              <w:left w:val="single" w:sz="4" w:space="0" w:color="auto"/>
              <w:right w:val="single" w:sz="4" w:space="0" w:color="auto"/>
            </w:tcBorders>
            <w:noWrap/>
            <w:vAlign w:val="center"/>
            <w:hideMark/>
          </w:tcPr>
          <w:p w:rsidR="00AA0F20" w:rsidRPr="00F606C7" w:rsidRDefault="00AA0F20"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F606C7">
              <w:rPr>
                <w:rFonts w:ascii="Arial" w:hAnsi="Arial" w:cs="Arial"/>
                <w:sz w:val="20"/>
                <w:szCs w:val="20"/>
              </w:rPr>
              <w:t>4</w:t>
            </w:r>
          </w:p>
        </w:tc>
      </w:tr>
      <w:tr w:rsidR="00AA0F20" w:rsidRPr="00F606C7" w:rsidTr="00226CE5">
        <w:trPr>
          <w:cnfStyle w:val="010000000000" w:firstRow="0" w:lastRow="1"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64" w:type="dxa"/>
            <w:tcBorders>
              <w:left w:val="single" w:sz="4" w:space="0" w:color="auto"/>
              <w:bottom w:val="single" w:sz="4" w:space="0" w:color="auto"/>
              <w:right w:val="single" w:sz="4" w:space="0" w:color="auto"/>
            </w:tcBorders>
            <w:noWrap/>
            <w:vAlign w:val="center"/>
            <w:hideMark/>
          </w:tcPr>
          <w:p w:rsidR="00AA0F20" w:rsidRPr="00F606C7" w:rsidRDefault="00AA0F20" w:rsidP="00682A1A">
            <w:pPr>
              <w:rPr>
                <w:rFonts w:ascii="Arial" w:hAnsi="Arial" w:cs="Arial"/>
                <w:sz w:val="20"/>
                <w:szCs w:val="20"/>
              </w:rPr>
            </w:pPr>
            <w:r w:rsidRPr="00F606C7">
              <w:rPr>
                <w:rFonts w:ascii="Arial" w:hAnsi="Arial" w:cs="Arial"/>
                <w:sz w:val="20"/>
                <w:szCs w:val="20"/>
              </w:rPr>
              <w:t>Total general</w:t>
            </w:r>
          </w:p>
        </w:tc>
        <w:tc>
          <w:tcPr>
            <w:tcW w:w="1484" w:type="dxa"/>
            <w:tcBorders>
              <w:left w:val="single" w:sz="4" w:space="0" w:color="auto"/>
              <w:bottom w:val="single" w:sz="4" w:space="0" w:color="auto"/>
              <w:right w:val="single" w:sz="4" w:space="0" w:color="auto"/>
            </w:tcBorders>
            <w:noWrap/>
            <w:vAlign w:val="center"/>
            <w:hideMark/>
          </w:tcPr>
          <w:p w:rsidR="00AA0F20" w:rsidRPr="00F606C7" w:rsidRDefault="00AA0F20"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113</w:t>
            </w:r>
          </w:p>
        </w:tc>
        <w:tc>
          <w:tcPr>
            <w:tcW w:w="1868" w:type="dxa"/>
            <w:tcBorders>
              <w:left w:val="single" w:sz="4" w:space="0" w:color="auto"/>
              <w:bottom w:val="single" w:sz="4" w:space="0" w:color="auto"/>
              <w:right w:val="single" w:sz="4" w:space="0" w:color="auto"/>
            </w:tcBorders>
            <w:noWrap/>
            <w:vAlign w:val="center"/>
            <w:hideMark/>
          </w:tcPr>
          <w:p w:rsidR="00AA0F20" w:rsidRPr="00F606C7" w:rsidRDefault="00AA0F20"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35</w:t>
            </w:r>
          </w:p>
        </w:tc>
        <w:tc>
          <w:tcPr>
            <w:tcW w:w="1289" w:type="dxa"/>
            <w:tcBorders>
              <w:left w:val="single" w:sz="4" w:space="0" w:color="auto"/>
              <w:bottom w:val="single" w:sz="4" w:space="0" w:color="auto"/>
              <w:right w:val="single" w:sz="4" w:space="0" w:color="auto"/>
            </w:tcBorders>
            <w:noWrap/>
            <w:vAlign w:val="center"/>
            <w:hideMark/>
          </w:tcPr>
          <w:p w:rsidR="00AA0F20" w:rsidRPr="00F606C7" w:rsidRDefault="00AA0F20"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200</w:t>
            </w:r>
          </w:p>
        </w:tc>
        <w:tc>
          <w:tcPr>
            <w:tcW w:w="1362" w:type="dxa"/>
            <w:tcBorders>
              <w:left w:val="single" w:sz="4" w:space="0" w:color="auto"/>
              <w:bottom w:val="single" w:sz="4" w:space="0" w:color="auto"/>
              <w:right w:val="single" w:sz="4" w:space="0" w:color="auto"/>
            </w:tcBorders>
            <w:noWrap/>
            <w:vAlign w:val="center"/>
            <w:hideMark/>
          </w:tcPr>
          <w:p w:rsidR="00AA0F20" w:rsidRPr="00F606C7" w:rsidRDefault="00AA0F20"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91</w:t>
            </w:r>
          </w:p>
        </w:tc>
        <w:tc>
          <w:tcPr>
            <w:tcW w:w="1686" w:type="dxa"/>
            <w:tcBorders>
              <w:left w:val="single" w:sz="4" w:space="0" w:color="auto"/>
              <w:bottom w:val="single" w:sz="4" w:space="0" w:color="auto"/>
              <w:right w:val="single" w:sz="4" w:space="0" w:color="auto"/>
            </w:tcBorders>
            <w:noWrap/>
            <w:vAlign w:val="center"/>
            <w:hideMark/>
          </w:tcPr>
          <w:p w:rsidR="00AA0F20" w:rsidRPr="00F606C7" w:rsidRDefault="00AA0F20"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F606C7">
              <w:rPr>
                <w:rFonts w:ascii="Arial" w:hAnsi="Arial" w:cs="Arial"/>
                <w:sz w:val="20"/>
                <w:szCs w:val="20"/>
              </w:rPr>
              <w:t>291</w:t>
            </w:r>
          </w:p>
        </w:tc>
      </w:tr>
    </w:tbl>
    <w:p w:rsidR="00AA0F20" w:rsidRPr="00D365BD" w:rsidRDefault="00D365BD" w:rsidP="00D365BD">
      <w:pPr>
        <w:spacing w:after="0" w:line="240" w:lineRule="auto"/>
        <w:jc w:val="center"/>
        <w:rPr>
          <w:sz w:val="18"/>
          <w:szCs w:val="18"/>
        </w:rPr>
      </w:pPr>
      <w:r w:rsidRPr="00D365BD">
        <w:rPr>
          <w:sz w:val="18"/>
          <w:szCs w:val="18"/>
        </w:rPr>
        <w:t xml:space="preserve">Fuente: </w:t>
      </w:r>
      <w:r>
        <w:rPr>
          <w:sz w:val="18"/>
          <w:szCs w:val="18"/>
        </w:rPr>
        <w:t xml:space="preserve">Elaboración propia en base a datos </w:t>
      </w:r>
      <w:r w:rsidR="00F636B5">
        <w:rPr>
          <w:sz w:val="18"/>
          <w:szCs w:val="18"/>
        </w:rPr>
        <w:t xml:space="preserve">de </w:t>
      </w:r>
      <w:r>
        <w:rPr>
          <w:sz w:val="18"/>
          <w:szCs w:val="18"/>
        </w:rPr>
        <w:t>Tesorería e Intendencias</w:t>
      </w:r>
    </w:p>
    <w:p w:rsidR="00BF2A37" w:rsidRDefault="00BF2A37" w:rsidP="00682A1A">
      <w:pPr>
        <w:spacing w:after="0" w:line="240" w:lineRule="auto"/>
        <w:jc w:val="both"/>
      </w:pPr>
    </w:p>
    <w:p w:rsidR="00E2019F" w:rsidRDefault="009551EC" w:rsidP="00682A1A">
      <w:pPr>
        <w:spacing w:after="0" w:line="240" w:lineRule="auto"/>
        <w:jc w:val="both"/>
      </w:pPr>
      <w:r w:rsidRPr="009C7B4E">
        <w:lastRenderedPageBreak/>
        <w:t>Como se puede observar, hay un importante aumento del número nacional de comunas establecidas por los decretos, que pasa de 113 en 2010 a 291 en 2012. Cabe recalcar que con esta última cifra quedan cubiertas como “comunas de menor desarrollo”, nada menos que el</w:t>
      </w:r>
      <w:r w:rsidR="009C7B4E">
        <w:t xml:space="preserve"> 84,1 % de las comunas del país</w:t>
      </w:r>
      <w:r w:rsidR="000D3464" w:rsidRPr="009C7B4E">
        <w:t xml:space="preserve">. </w:t>
      </w:r>
      <w:r w:rsidRPr="009C7B4E">
        <w:t>Esto es, que sólo 55 co</w:t>
      </w:r>
      <w:r w:rsidR="00E2019F" w:rsidRPr="009C7B4E">
        <w:t>munas quedan fuera del ranking.</w:t>
      </w:r>
    </w:p>
    <w:p w:rsidR="00D365BD" w:rsidRDefault="00D365BD" w:rsidP="00682A1A">
      <w:pPr>
        <w:spacing w:after="0" w:line="240" w:lineRule="auto"/>
        <w:jc w:val="both"/>
      </w:pPr>
    </w:p>
    <w:p w:rsidR="009C7B4E" w:rsidRDefault="009551EC" w:rsidP="00682A1A">
      <w:pPr>
        <w:spacing w:after="0" w:line="240" w:lineRule="auto"/>
        <w:jc w:val="both"/>
      </w:pPr>
      <w:r>
        <w:t xml:space="preserve">Para </w:t>
      </w:r>
      <w:r w:rsidR="00E2019F">
        <w:t>dimensionar mejor</w:t>
      </w:r>
      <w:r>
        <w:t xml:space="preserve"> estas cifras, podemos recordar que Chile tiene 15 </w:t>
      </w:r>
      <w:r w:rsidR="00E2019F">
        <w:t xml:space="preserve">comunas </w:t>
      </w:r>
      <w:r>
        <w:t>capitales regionales</w:t>
      </w:r>
      <w:r w:rsidR="00E2019F">
        <w:t xml:space="preserve"> y 54 comunas cabeceras provinciales (esto </w:t>
      </w:r>
      <w:r>
        <w:t>desde el año 2007</w:t>
      </w:r>
      <w:r w:rsidR="00E2019F">
        <w:t>, en que se crearon 2 regiones y 2 provincias sobre las existentes hasta esa fecha).</w:t>
      </w:r>
      <w:r w:rsidR="009A05A7">
        <w:t xml:space="preserve"> E</w:t>
      </w:r>
      <w:r w:rsidR="00E2019F">
        <w:t>stos números coinciden bastante con las excluidas del ranking de menor desarrollo establecido en el Decreto Nº 1481 de 2012, lo que desde ya pone en cuestión el criterio de focalización de este programa público.</w:t>
      </w:r>
    </w:p>
    <w:p w:rsidR="009C7B4E" w:rsidRDefault="009C7B4E" w:rsidP="00682A1A">
      <w:pPr>
        <w:spacing w:after="0" w:line="240" w:lineRule="auto"/>
        <w:jc w:val="both"/>
      </w:pPr>
    </w:p>
    <w:p w:rsidR="009C7B4E" w:rsidRDefault="009C7B4E" w:rsidP="00682A1A">
      <w:pPr>
        <w:spacing w:after="0" w:line="240" w:lineRule="auto"/>
        <w:jc w:val="both"/>
      </w:pPr>
      <w:r>
        <w:t xml:space="preserve">A lo anterior hay que agregar que con el gran aumento del número de comunas elegibles, aparecen algunas que, sin ser capitales regionales, a primera vista generan dudas: </w:t>
      </w:r>
      <w:r w:rsidRPr="009C7B4E">
        <w:t>Maipú</w:t>
      </w:r>
      <w:r>
        <w:t xml:space="preserve"> y</w:t>
      </w:r>
      <w:r w:rsidRPr="009C7B4E">
        <w:t xml:space="preserve"> </w:t>
      </w:r>
      <w:r>
        <w:t>L</w:t>
      </w:r>
      <w:r w:rsidRPr="009C7B4E">
        <w:t>a Cisterna</w:t>
      </w:r>
      <w:r>
        <w:t>, por citar algunas, ¿son comunas de menor desarrollo relativo?</w:t>
      </w:r>
    </w:p>
    <w:p w:rsidR="00D365BD" w:rsidRDefault="00D365BD" w:rsidP="00682A1A">
      <w:pPr>
        <w:spacing w:after="0" w:line="240" w:lineRule="auto"/>
        <w:jc w:val="both"/>
      </w:pPr>
    </w:p>
    <w:p w:rsidR="00E2019F" w:rsidRDefault="00E2019F" w:rsidP="00682A1A">
      <w:pPr>
        <w:spacing w:after="0" w:line="240" w:lineRule="auto"/>
        <w:jc w:val="both"/>
      </w:pPr>
      <w:r>
        <w:t>Además de ello, aunque el número de las comunas que han utilizado efectivamente el beneficio muestra un aumento proporcionalmente mayor entre 2010 y 2011, llama la atención que sigue estando muy por debajo de la cifra “decretada” para esos años.</w:t>
      </w:r>
    </w:p>
    <w:p w:rsidR="00D365BD" w:rsidRDefault="00D365BD" w:rsidP="00682A1A">
      <w:pPr>
        <w:spacing w:after="0" w:line="240" w:lineRule="auto"/>
        <w:jc w:val="both"/>
      </w:pPr>
    </w:p>
    <w:p w:rsidR="00E66C1D" w:rsidRDefault="00E66C1D" w:rsidP="00682A1A">
      <w:pPr>
        <w:spacing w:after="0" w:line="240" w:lineRule="auto"/>
        <w:jc w:val="both"/>
      </w:pPr>
      <w:r>
        <w:t xml:space="preserve">En la mirada de las comunas elegibles para acceder al beneficio, aparecen algunos datos que a primera vista resultan bastante insólitos cuando se entiende que la ley busca fomentar la </w:t>
      </w:r>
      <w:r w:rsidRPr="00F17336">
        <w:rPr>
          <w:i/>
        </w:rPr>
        <w:t>permanencia</w:t>
      </w:r>
      <w:r>
        <w:t xml:space="preserve"> de profesionales en las comunas de bajo desarrollo. </w:t>
      </w:r>
      <w:r w:rsidR="009A05A7">
        <w:t>Aunque el número e</w:t>
      </w:r>
      <w:r w:rsidR="009C7B4E">
        <w:t>s</w:t>
      </w:r>
      <w:r w:rsidR="009A05A7">
        <w:t xml:space="preserve"> relativamente reducido, del año 2010 al 2011 h</w:t>
      </w:r>
      <w:r>
        <w:t xml:space="preserve">ay </w:t>
      </w:r>
      <w:r w:rsidR="009A05A7">
        <w:t xml:space="preserve">7 </w:t>
      </w:r>
      <w:r>
        <w:t xml:space="preserve">comunas que salen del listado de elegibles. </w:t>
      </w:r>
      <w:r w:rsidR="009A05A7">
        <w:t>La situación era esperable si se tiene en cuenta que la selección de comunas se basa en indicadores que pueden variar de un año a otro, pero clarament</w:t>
      </w:r>
      <w:r w:rsidR="009A3460">
        <w:t>e el resultado atenta contra uno</w:t>
      </w:r>
      <w:r w:rsidR="009A05A7">
        <w:t xml:space="preserve"> de </w:t>
      </w:r>
      <w:r w:rsidR="009A3460">
        <w:t xml:space="preserve">los objetivos que </w:t>
      </w:r>
      <w:r w:rsidR="009A05A7">
        <w:t xml:space="preserve">la </w:t>
      </w:r>
      <w:r w:rsidR="00F17336">
        <w:t>L</w:t>
      </w:r>
      <w:r w:rsidR="009A05A7">
        <w:t xml:space="preserve">ey </w:t>
      </w:r>
      <w:r w:rsidR="009A3460">
        <w:t>propone, esto es que haya continuidad en el desempeño laboral de los beneficiarios</w:t>
      </w:r>
      <w:r w:rsidR="009A05A7">
        <w:t>.</w:t>
      </w:r>
    </w:p>
    <w:p w:rsidR="00D365BD" w:rsidRDefault="00D365BD" w:rsidP="00682A1A">
      <w:pPr>
        <w:spacing w:after="0" w:line="240" w:lineRule="auto"/>
        <w:jc w:val="both"/>
      </w:pPr>
    </w:p>
    <w:p w:rsidR="00D365BD" w:rsidRPr="00D365BD" w:rsidRDefault="00D365BD" w:rsidP="00D365BD">
      <w:pPr>
        <w:spacing w:after="0" w:line="240" w:lineRule="auto"/>
        <w:jc w:val="center"/>
        <w:rPr>
          <w:b/>
        </w:rPr>
      </w:pPr>
      <w:r>
        <w:rPr>
          <w:b/>
        </w:rPr>
        <w:t>CUADRO Nº 3</w:t>
      </w:r>
      <w:r w:rsidRPr="00D365BD">
        <w:rPr>
          <w:b/>
        </w:rPr>
        <w:t>:</w:t>
      </w:r>
    </w:p>
    <w:p w:rsidR="00D365BD" w:rsidRPr="00D365BD" w:rsidRDefault="00D365BD" w:rsidP="00D365BD">
      <w:pPr>
        <w:spacing w:after="0" w:line="240" w:lineRule="auto"/>
        <w:jc w:val="center"/>
        <w:rPr>
          <w:b/>
        </w:rPr>
      </w:pPr>
      <w:r w:rsidRPr="00D365BD">
        <w:rPr>
          <w:b/>
        </w:rPr>
        <w:t xml:space="preserve">COMUNAS </w:t>
      </w:r>
      <w:r>
        <w:rPr>
          <w:b/>
        </w:rPr>
        <w:t>ENTRANTES Y SALIENTES (QUE OBTIENEN O PIERDEN EL BENEFICIO) POR VARIACIÓN DE LISTA ANUAL (DECRETO)</w:t>
      </w:r>
    </w:p>
    <w:tbl>
      <w:tblPr>
        <w:tblStyle w:val="Sombreadomedio1-nfasis11"/>
        <w:tblW w:w="8169" w:type="dxa"/>
        <w:jc w:val="center"/>
        <w:tblInd w:w="-176" w:type="dxa"/>
        <w:tblLook w:val="00A0" w:firstRow="1" w:lastRow="0" w:firstColumn="1" w:lastColumn="0" w:noHBand="0" w:noVBand="0"/>
      </w:tblPr>
      <w:tblGrid>
        <w:gridCol w:w="2167"/>
        <w:gridCol w:w="1533"/>
        <w:gridCol w:w="783"/>
        <w:gridCol w:w="851"/>
        <w:gridCol w:w="1417"/>
        <w:gridCol w:w="709"/>
        <w:gridCol w:w="709"/>
      </w:tblGrid>
      <w:tr w:rsidR="00E66C1D" w:rsidRPr="00F606C7" w:rsidTr="00226CE5">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167" w:type="dxa"/>
            <w:tcBorders>
              <w:top w:val="nil"/>
              <w:left w:val="nil"/>
              <w:bottom w:val="single" w:sz="4" w:space="0" w:color="95B3D7" w:themeColor="accent1" w:themeTint="99"/>
              <w:right w:val="single" w:sz="4" w:space="0" w:color="95B3D7" w:themeColor="accent1" w:themeTint="99"/>
            </w:tcBorders>
            <w:shd w:val="clear" w:color="auto" w:fill="auto"/>
          </w:tcPr>
          <w:p w:rsidR="00E66C1D" w:rsidRPr="00F606C7" w:rsidRDefault="00E66C1D" w:rsidP="00682A1A">
            <w:pPr>
              <w:jc w:val="center"/>
              <w:rPr>
                <w:rFonts w:ascii="Arial" w:eastAsia="Times New Roman" w:hAnsi="Arial" w:cs="Arial"/>
                <w:color w:val="000000"/>
                <w:sz w:val="20"/>
                <w:szCs w:val="20"/>
                <w:lang w:eastAsia="es-ES"/>
              </w:rPr>
            </w:pPr>
          </w:p>
        </w:tc>
        <w:tc>
          <w:tcPr>
            <w:cnfStyle w:val="000010000000" w:firstRow="0" w:lastRow="0" w:firstColumn="0" w:lastColumn="0" w:oddVBand="1" w:evenVBand="0" w:oddHBand="0" w:evenHBand="0" w:firstRowFirstColumn="0" w:firstRowLastColumn="0" w:lastRowFirstColumn="0" w:lastRowLastColumn="0"/>
            <w:tcW w:w="3167" w:type="dxa"/>
            <w:gridSpan w:val="3"/>
            <w:tcBorders>
              <w:top w:val="nil"/>
              <w:left w:val="single" w:sz="4" w:space="0" w:color="95B3D7" w:themeColor="accent1" w:themeTint="99"/>
              <w:bottom w:val="single" w:sz="4" w:space="0" w:color="95B3D7" w:themeColor="accent1" w:themeTint="99"/>
            </w:tcBorders>
            <w:noWrap/>
            <w:vAlign w:val="center"/>
            <w:hideMark/>
          </w:tcPr>
          <w:p w:rsidR="00E66C1D" w:rsidRPr="00F606C7" w:rsidRDefault="00E66C1D" w:rsidP="00682A1A">
            <w:pPr>
              <w:jc w:val="center"/>
              <w:rPr>
                <w:rFonts w:ascii="Arial" w:eastAsia="Times New Roman" w:hAnsi="Arial" w:cs="Arial"/>
                <w:color w:val="000000"/>
                <w:sz w:val="20"/>
                <w:szCs w:val="20"/>
                <w:lang w:eastAsia="es-ES"/>
              </w:rPr>
            </w:pPr>
            <w:r w:rsidRPr="00F606C7">
              <w:rPr>
                <w:rFonts w:ascii="Arial" w:eastAsia="Times New Roman" w:hAnsi="Arial" w:cs="Arial"/>
                <w:color w:val="000000"/>
                <w:sz w:val="20"/>
                <w:szCs w:val="20"/>
                <w:lang w:eastAsia="es-ES"/>
              </w:rPr>
              <w:t>2011</w:t>
            </w:r>
          </w:p>
        </w:tc>
        <w:tc>
          <w:tcPr>
            <w:tcW w:w="2835" w:type="dxa"/>
            <w:gridSpan w:val="3"/>
            <w:tcBorders>
              <w:bottom w:val="single" w:sz="4" w:space="0" w:color="95B3D7" w:themeColor="accent1" w:themeTint="99"/>
            </w:tcBorders>
            <w:noWrap/>
            <w:vAlign w:val="center"/>
            <w:hideMark/>
          </w:tcPr>
          <w:p w:rsidR="00E66C1D" w:rsidRPr="00F606C7" w:rsidRDefault="00E66C1D" w:rsidP="00682A1A">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es-ES"/>
              </w:rPr>
            </w:pPr>
            <w:r w:rsidRPr="00F606C7">
              <w:rPr>
                <w:rFonts w:ascii="Arial" w:eastAsia="Times New Roman" w:hAnsi="Arial" w:cs="Arial"/>
                <w:color w:val="000000"/>
                <w:sz w:val="20"/>
                <w:szCs w:val="20"/>
                <w:lang w:eastAsia="es-ES"/>
              </w:rPr>
              <w:t>2012</w:t>
            </w:r>
          </w:p>
        </w:tc>
      </w:tr>
      <w:tr w:rsidR="00E66C1D" w:rsidRPr="00F606C7" w:rsidTr="00226CE5">
        <w:trPr>
          <w:cnfStyle w:val="000000100000" w:firstRow="0" w:lastRow="0" w:firstColumn="0" w:lastColumn="0" w:oddVBand="0" w:evenVBand="0" w:oddHBand="1" w:evenHBand="0" w:firstRowFirstColumn="0" w:firstRowLastColumn="0" w:lastRowFirstColumn="0" w:lastRowLastColumn="0"/>
          <w:trHeight w:val="260"/>
          <w:jc w:val="center"/>
        </w:trPr>
        <w:tc>
          <w:tcPr>
            <w:cnfStyle w:val="001000000000" w:firstRow="0" w:lastRow="0" w:firstColumn="1" w:lastColumn="0" w:oddVBand="0" w:evenVBand="0" w:oddHBand="0" w:evenHBand="0" w:firstRowFirstColumn="0" w:firstRowLastColumn="0" w:lastRowFirstColumn="0" w:lastRowLastColumn="0"/>
            <w:tcW w:w="2167" w:type="dxa"/>
            <w:tcBorders>
              <w:top w:val="single" w:sz="4" w:space="0" w:color="95B3D7" w:themeColor="accent1" w:themeTint="99"/>
              <w:left w:val="single" w:sz="4" w:space="0" w:color="95B3D7" w:themeColor="accent1" w:themeTint="99"/>
            </w:tcBorders>
            <w:vAlign w:val="center"/>
          </w:tcPr>
          <w:p w:rsidR="00E66C1D" w:rsidRDefault="00E66C1D" w:rsidP="00682A1A">
            <w:pPr>
              <w:rPr>
                <w:rFonts w:ascii="Arial" w:eastAsia="Times New Roman" w:hAnsi="Arial" w:cs="Arial"/>
                <w:sz w:val="20"/>
                <w:szCs w:val="20"/>
                <w:lang w:eastAsia="es-ES"/>
              </w:rPr>
            </w:pPr>
            <w:r>
              <w:rPr>
                <w:rFonts w:ascii="Arial" w:eastAsia="Times New Roman" w:hAnsi="Arial" w:cs="Arial"/>
                <w:sz w:val="20"/>
                <w:szCs w:val="20"/>
                <w:lang w:eastAsia="es-ES"/>
              </w:rPr>
              <w:t>Condición</w:t>
            </w:r>
          </w:p>
        </w:tc>
        <w:tc>
          <w:tcPr>
            <w:cnfStyle w:val="000010000000" w:firstRow="0" w:lastRow="0" w:firstColumn="0" w:lastColumn="0" w:oddVBand="1" w:evenVBand="0" w:oddHBand="0" w:evenHBand="0" w:firstRowFirstColumn="0" w:firstRowLastColumn="0" w:lastRowFirstColumn="0" w:lastRowLastColumn="0"/>
            <w:tcW w:w="1533" w:type="dxa"/>
            <w:tcBorders>
              <w:top w:val="single" w:sz="4" w:space="0" w:color="95B3D7" w:themeColor="accent1" w:themeTint="99"/>
            </w:tcBorders>
            <w:vAlign w:val="center"/>
            <w:hideMark/>
          </w:tcPr>
          <w:p w:rsidR="00E66C1D" w:rsidRPr="00F606C7" w:rsidRDefault="00E66C1D" w:rsidP="00682A1A">
            <w:pPr>
              <w:jc w:val="center"/>
              <w:rPr>
                <w:rFonts w:ascii="Arial" w:eastAsia="Times New Roman" w:hAnsi="Arial" w:cs="Arial"/>
                <w:sz w:val="20"/>
                <w:szCs w:val="20"/>
                <w:lang w:eastAsia="es-ES"/>
              </w:rPr>
            </w:pPr>
            <w:r>
              <w:rPr>
                <w:rFonts w:ascii="Arial" w:eastAsia="Times New Roman" w:hAnsi="Arial" w:cs="Arial"/>
                <w:sz w:val="20"/>
                <w:szCs w:val="20"/>
                <w:lang w:eastAsia="es-ES"/>
              </w:rPr>
              <w:t xml:space="preserve">Se </w:t>
            </w:r>
            <w:r w:rsidRPr="00F606C7">
              <w:rPr>
                <w:rFonts w:ascii="Arial" w:eastAsia="Times New Roman" w:hAnsi="Arial" w:cs="Arial"/>
                <w:sz w:val="20"/>
                <w:szCs w:val="20"/>
                <w:lang w:eastAsia="es-ES"/>
              </w:rPr>
              <w:t>Mantiene</w:t>
            </w:r>
            <w:r>
              <w:rPr>
                <w:rFonts w:ascii="Arial" w:eastAsia="Times New Roman" w:hAnsi="Arial" w:cs="Arial"/>
                <w:sz w:val="20"/>
                <w:szCs w:val="20"/>
                <w:lang w:eastAsia="es-ES"/>
              </w:rPr>
              <w:t>n</w:t>
            </w:r>
            <w:r w:rsidRPr="00F606C7">
              <w:rPr>
                <w:rFonts w:ascii="Arial" w:eastAsia="Times New Roman" w:hAnsi="Arial" w:cs="Arial"/>
                <w:sz w:val="20"/>
                <w:szCs w:val="20"/>
                <w:lang w:eastAsia="es-ES"/>
              </w:rPr>
              <w:t xml:space="preserve"> </w:t>
            </w:r>
          </w:p>
        </w:tc>
        <w:tc>
          <w:tcPr>
            <w:tcW w:w="783" w:type="dxa"/>
            <w:tcBorders>
              <w:top w:val="single" w:sz="4" w:space="0" w:color="95B3D7" w:themeColor="accent1" w:themeTint="99"/>
              <w:right w:val="single" w:sz="4" w:space="0" w:color="95B3D7" w:themeColor="accent1" w:themeTint="99"/>
            </w:tcBorders>
            <w:noWrap/>
            <w:vAlign w:val="center"/>
            <w:hideMark/>
          </w:tcPr>
          <w:p w:rsidR="00E66C1D" w:rsidRPr="00F606C7" w:rsidRDefault="00E66C1D" w:rsidP="00682A1A">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es-ES"/>
              </w:rPr>
            </w:pPr>
            <w:r w:rsidRPr="00F606C7">
              <w:rPr>
                <w:rFonts w:ascii="Arial" w:eastAsia="Times New Roman" w:hAnsi="Arial" w:cs="Arial"/>
                <w:color w:val="000000"/>
                <w:sz w:val="20"/>
                <w:szCs w:val="20"/>
                <w:lang w:eastAsia="es-ES"/>
              </w:rPr>
              <w:t>Entra</w:t>
            </w:r>
          </w:p>
        </w:tc>
        <w:tc>
          <w:tcPr>
            <w:cnfStyle w:val="000010000000" w:firstRow="0" w:lastRow="0" w:firstColumn="0" w:lastColumn="0" w:oddVBand="1" w:evenVBand="0" w:oddHBand="0" w:evenHBand="0" w:firstRowFirstColumn="0" w:firstRowLastColumn="0" w:lastRowFirstColumn="0" w:lastRowLastColumn="0"/>
            <w:tcW w:w="851"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66C1D" w:rsidRPr="00F606C7" w:rsidRDefault="00E66C1D" w:rsidP="00682A1A">
            <w:pPr>
              <w:jc w:val="center"/>
              <w:rPr>
                <w:rFonts w:ascii="Arial" w:eastAsia="Times New Roman" w:hAnsi="Arial" w:cs="Arial"/>
                <w:color w:val="000000"/>
                <w:sz w:val="20"/>
                <w:szCs w:val="20"/>
                <w:lang w:eastAsia="es-ES"/>
              </w:rPr>
            </w:pPr>
            <w:r w:rsidRPr="00F606C7">
              <w:rPr>
                <w:rFonts w:ascii="Arial" w:eastAsia="Times New Roman" w:hAnsi="Arial" w:cs="Arial"/>
                <w:color w:val="000000"/>
                <w:sz w:val="20"/>
                <w:szCs w:val="20"/>
                <w:lang w:eastAsia="es-ES"/>
              </w:rPr>
              <w:t xml:space="preserve">Sale </w:t>
            </w:r>
          </w:p>
        </w:tc>
        <w:tc>
          <w:tcPr>
            <w:tcW w:w="1417" w:type="dxa"/>
            <w:tcBorders>
              <w:top w:val="single" w:sz="4" w:space="0" w:color="95B3D7" w:themeColor="accent1" w:themeTint="99"/>
              <w:left w:val="single" w:sz="4" w:space="0" w:color="95B3D7" w:themeColor="accent1" w:themeTint="99"/>
            </w:tcBorders>
            <w:vAlign w:val="center"/>
            <w:hideMark/>
          </w:tcPr>
          <w:p w:rsidR="00E66C1D" w:rsidRPr="00F606C7" w:rsidRDefault="00E66C1D" w:rsidP="00682A1A">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ES"/>
              </w:rPr>
            </w:pPr>
            <w:r>
              <w:rPr>
                <w:rFonts w:ascii="Arial" w:eastAsia="Times New Roman" w:hAnsi="Arial" w:cs="Arial"/>
                <w:sz w:val="20"/>
                <w:szCs w:val="20"/>
                <w:lang w:eastAsia="es-ES"/>
              </w:rPr>
              <w:t>Se mantiene</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95B3D7" w:themeColor="accent1" w:themeTint="99"/>
            </w:tcBorders>
            <w:noWrap/>
            <w:vAlign w:val="center"/>
            <w:hideMark/>
          </w:tcPr>
          <w:p w:rsidR="00E66C1D" w:rsidRPr="00F606C7" w:rsidRDefault="00E66C1D" w:rsidP="00682A1A">
            <w:pPr>
              <w:jc w:val="center"/>
              <w:rPr>
                <w:rFonts w:ascii="Arial" w:eastAsia="Times New Roman" w:hAnsi="Arial" w:cs="Arial"/>
                <w:color w:val="000000"/>
                <w:sz w:val="20"/>
                <w:szCs w:val="20"/>
                <w:lang w:eastAsia="es-ES"/>
              </w:rPr>
            </w:pPr>
            <w:r w:rsidRPr="00F606C7">
              <w:rPr>
                <w:rFonts w:ascii="Arial" w:eastAsia="Times New Roman" w:hAnsi="Arial" w:cs="Arial"/>
                <w:color w:val="000000"/>
                <w:sz w:val="20"/>
                <w:szCs w:val="20"/>
                <w:lang w:eastAsia="es-ES"/>
              </w:rPr>
              <w:t xml:space="preserve">Entra </w:t>
            </w:r>
          </w:p>
        </w:tc>
        <w:tc>
          <w:tcPr>
            <w:tcW w:w="709" w:type="dxa"/>
            <w:tcBorders>
              <w:top w:val="single" w:sz="4" w:space="0" w:color="95B3D7" w:themeColor="accent1" w:themeTint="99"/>
              <w:right w:val="single" w:sz="4" w:space="0" w:color="95B3D7" w:themeColor="accent1" w:themeTint="99"/>
            </w:tcBorders>
            <w:noWrap/>
            <w:vAlign w:val="center"/>
            <w:hideMark/>
          </w:tcPr>
          <w:p w:rsidR="00E66C1D" w:rsidRPr="00F606C7" w:rsidRDefault="00E66C1D" w:rsidP="00682A1A">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es-ES"/>
              </w:rPr>
            </w:pPr>
            <w:r w:rsidRPr="00F606C7">
              <w:rPr>
                <w:rFonts w:ascii="Arial" w:eastAsia="Times New Roman" w:hAnsi="Arial" w:cs="Arial"/>
                <w:color w:val="000000"/>
                <w:sz w:val="20"/>
                <w:szCs w:val="20"/>
                <w:lang w:eastAsia="es-ES"/>
              </w:rPr>
              <w:t>Sale</w:t>
            </w:r>
          </w:p>
        </w:tc>
      </w:tr>
      <w:tr w:rsidR="00E66C1D" w:rsidRPr="00F606C7" w:rsidTr="00226CE5">
        <w:trPr>
          <w:cnfStyle w:val="000000010000" w:firstRow="0" w:lastRow="0" w:firstColumn="0" w:lastColumn="0" w:oddVBand="0" w:evenVBand="0" w:oddHBand="0" w:evenHBand="1" w:firstRowFirstColumn="0" w:firstRowLastColumn="0" w:lastRowFirstColumn="0" w:lastRowLastColumn="0"/>
          <w:trHeight w:val="406"/>
          <w:jc w:val="center"/>
        </w:trPr>
        <w:tc>
          <w:tcPr>
            <w:cnfStyle w:val="001000000000" w:firstRow="0" w:lastRow="0" w:firstColumn="1" w:lastColumn="0" w:oddVBand="0" w:evenVBand="0" w:oddHBand="0" w:evenHBand="0" w:firstRowFirstColumn="0" w:firstRowLastColumn="0" w:lastRowFirstColumn="0" w:lastRowLastColumn="0"/>
            <w:tcW w:w="2167" w:type="dxa"/>
            <w:tcBorders>
              <w:left w:val="single" w:sz="4" w:space="0" w:color="95B3D7" w:themeColor="accent1" w:themeTint="99"/>
              <w:bottom w:val="single" w:sz="4" w:space="0" w:color="95B3D7" w:themeColor="accent1" w:themeTint="99"/>
            </w:tcBorders>
            <w:vAlign w:val="bottom"/>
          </w:tcPr>
          <w:p w:rsidR="00E66C1D" w:rsidRPr="00127067" w:rsidRDefault="00E66C1D" w:rsidP="00682A1A">
            <w:pPr>
              <w:rPr>
                <w:rFonts w:ascii="Arial" w:eastAsia="Times New Roman" w:hAnsi="Arial" w:cs="Arial"/>
                <w:bCs w:val="0"/>
                <w:color w:val="000000"/>
                <w:sz w:val="20"/>
                <w:szCs w:val="20"/>
                <w:lang w:eastAsia="es-ES"/>
              </w:rPr>
            </w:pPr>
            <w:r w:rsidRPr="00127067">
              <w:rPr>
                <w:rFonts w:ascii="Arial" w:eastAsia="Times New Roman" w:hAnsi="Arial" w:cs="Arial"/>
                <w:bCs w:val="0"/>
                <w:color w:val="000000"/>
                <w:sz w:val="20"/>
                <w:szCs w:val="20"/>
                <w:lang w:eastAsia="es-ES"/>
              </w:rPr>
              <w:t>Número de Comunas</w:t>
            </w:r>
          </w:p>
        </w:tc>
        <w:tc>
          <w:tcPr>
            <w:cnfStyle w:val="000010000000" w:firstRow="0" w:lastRow="0" w:firstColumn="0" w:lastColumn="0" w:oddVBand="1" w:evenVBand="0" w:oddHBand="0" w:evenHBand="0" w:firstRowFirstColumn="0" w:firstRowLastColumn="0" w:lastRowFirstColumn="0" w:lastRowLastColumn="0"/>
            <w:tcW w:w="1533" w:type="dxa"/>
            <w:tcBorders>
              <w:bottom w:val="single" w:sz="4" w:space="0" w:color="95B3D7" w:themeColor="accent1" w:themeTint="99"/>
            </w:tcBorders>
            <w:noWrap/>
            <w:vAlign w:val="center"/>
            <w:hideMark/>
          </w:tcPr>
          <w:p w:rsidR="00E66C1D" w:rsidRPr="00F606C7" w:rsidRDefault="00E66C1D" w:rsidP="00682A1A">
            <w:pPr>
              <w:jc w:val="center"/>
              <w:rPr>
                <w:rFonts w:ascii="Arial" w:eastAsia="Times New Roman" w:hAnsi="Arial" w:cs="Arial"/>
                <w:b/>
                <w:bCs/>
                <w:color w:val="000000"/>
                <w:sz w:val="20"/>
                <w:szCs w:val="20"/>
                <w:lang w:eastAsia="es-ES"/>
              </w:rPr>
            </w:pPr>
            <w:r w:rsidRPr="00F606C7">
              <w:rPr>
                <w:rFonts w:ascii="Arial" w:eastAsia="Times New Roman" w:hAnsi="Arial" w:cs="Arial"/>
                <w:b/>
                <w:bCs/>
                <w:color w:val="000000"/>
                <w:sz w:val="20"/>
                <w:szCs w:val="20"/>
                <w:lang w:eastAsia="es-ES"/>
              </w:rPr>
              <w:t>106</w:t>
            </w:r>
          </w:p>
        </w:tc>
        <w:tc>
          <w:tcPr>
            <w:tcW w:w="783" w:type="dxa"/>
            <w:tcBorders>
              <w:bottom w:val="single" w:sz="4" w:space="0" w:color="95B3D7" w:themeColor="accent1" w:themeTint="99"/>
              <w:right w:val="single" w:sz="4" w:space="0" w:color="95B3D7" w:themeColor="accent1" w:themeTint="99"/>
            </w:tcBorders>
            <w:noWrap/>
            <w:vAlign w:val="center"/>
            <w:hideMark/>
          </w:tcPr>
          <w:p w:rsidR="00E66C1D" w:rsidRPr="00F606C7" w:rsidRDefault="00E66C1D" w:rsidP="00682A1A">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b/>
                <w:bCs/>
                <w:color w:val="000000"/>
                <w:sz w:val="20"/>
                <w:szCs w:val="20"/>
                <w:lang w:eastAsia="es-ES"/>
              </w:rPr>
            </w:pPr>
            <w:r w:rsidRPr="00F606C7">
              <w:rPr>
                <w:rFonts w:ascii="Arial" w:eastAsia="Times New Roman" w:hAnsi="Arial" w:cs="Arial"/>
                <w:b/>
                <w:bCs/>
                <w:color w:val="000000"/>
                <w:sz w:val="20"/>
                <w:szCs w:val="20"/>
                <w:lang w:eastAsia="es-ES"/>
              </w:rPr>
              <w:t>94</w:t>
            </w:r>
          </w:p>
        </w:tc>
        <w:tc>
          <w:tcPr>
            <w:cnfStyle w:val="000010000000" w:firstRow="0" w:lastRow="0" w:firstColumn="0" w:lastColumn="0" w:oddVBand="1" w:evenVBand="0" w:oddHBand="0" w:evenHBand="0" w:firstRowFirstColumn="0" w:firstRowLastColumn="0" w:lastRowFirstColumn="0" w:lastRowLastColumn="0"/>
            <w:tcW w:w="851"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66C1D" w:rsidRPr="00F606C7" w:rsidRDefault="00E66C1D" w:rsidP="00682A1A">
            <w:pPr>
              <w:jc w:val="center"/>
              <w:rPr>
                <w:rFonts w:ascii="Arial" w:eastAsia="Times New Roman" w:hAnsi="Arial" w:cs="Arial"/>
                <w:b/>
                <w:bCs/>
                <w:color w:val="000000"/>
                <w:sz w:val="20"/>
                <w:szCs w:val="20"/>
                <w:lang w:eastAsia="es-ES"/>
              </w:rPr>
            </w:pPr>
            <w:r w:rsidRPr="00F606C7">
              <w:rPr>
                <w:rFonts w:ascii="Arial" w:eastAsia="Times New Roman" w:hAnsi="Arial" w:cs="Arial"/>
                <w:b/>
                <w:bCs/>
                <w:color w:val="000000"/>
                <w:sz w:val="20"/>
                <w:szCs w:val="20"/>
                <w:lang w:eastAsia="es-ES"/>
              </w:rPr>
              <w:t>7</w:t>
            </w:r>
          </w:p>
        </w:tc>
        <w:tc>
          <w:tcPr>
            <w:tcW w:w="1417" w:type="dxa"/>
            <w:tcBorders>
              <w:left w:val="single" w:sz="4" w:space="0" w:color="95B3D7" w:themeColor="accent1" w:themeTint="99"/>
              <w:bottom w:val="single" w:sz="4" w:space="0" w:color="95B3D7" w:themeColor="accent1" w:themeTint="99"/>
            </w:tcBorders>
            <w:noWrap/>
            <w:vAlign w:val="center"/>
            <w:hideMark/>
          </w:tcPr>
          <w:p w:rsidR="00E66C1D" w:rsidRPr="00F606C7" w:rsidRDefault="00E66C1D" w:rsidP="00682A1A">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b/>
                <w:bCs/>
                <w:color w:val="000000"/>
                <w:sz w:val="20"/>
                <w:szCs w:val="20"/>
                <w:lang w:eastAsia="es-ES"/>
              </w:rPr>
            </w:pPr>
            <w:r w:rsidRPr="00F606C7">
              <w:rPr>
                <w:rFonts w:ascii="Arial" w:eastAsia="Times New Roman" w:hAnsi="Arial" w:cs="Arial"/>
                <w:b/>
                <w:bCs/>
                <w:color w:val="000000"/>
                <w:sz w:val="20"/>
                <w:szCs w:val="20"/>
                <w:lang w:eastAsia="es-ES"/>
              </w:rPr>
              <w:t>200</w:t>
            </w:r>
          </w:p>
        </w:tc>
        <w:tc>
          <w:tcPr>
            <w:cnfStyle w:val="000010000000" w:firstRow="0" w:lastRow="0" w:firstColumn="0" w:lastColumn="0" w:oddVBand="1" w:evenVBand="0" w:oddHBand="0" w:evenHBand="0" w:firstRowFirstColumn="0" w:firstRowLastColumn="0" w:lastRowFirstColumn="0" w:lastRowLastColumn="0"/>
            <w:tcW w:w="709" w:type="dxa"/>
            <w:tcBorders>
              <w:bottom w:val="single" w:sz="4" w:space="0" w:color="95B3D7" w:themeColor="accent1" w:themeTint="99"/>
            </w:tcBorders>
            <w:noWrap/>
            <w:vAlign w:val="center"/>
            <w:hideMark/>
          </w:tcPr>
          <w:p w:rsidR="00E66C1D" w:rsidRPr="00F606C7" w:rsidRDefault="00E66C1D" w:rsidP="00682A1A">
            <w:pPr>
              <w:jc w:val="center"/>
              <w:rPr>
                <w:rFonts w:ascii="Arial" w:eastAsia="Times New Roman" w:hAnsi="Arial" w:cs="Arial"/>
                <w:b/>
                <w:bCs/>
                <w:color w:val="000000"/>
                <w:sz w:val="20"/>
                <w:szCs w:val="20"/>
                <w:lang w:eastAsia="es-ES"/>
              </w:rPr>
            </w:pPr>
            <w:r w:rsidRPr="00F606C7">
              <w:rPr>
                <w:rFonts w:ascii="Arial" w:eastAsia="Times New Roman" w:hAnsi="Arial" w:cs="Arial"/>
                <w:b/>
                <w:bCs/>
                <w:color w:val="000000"/>
                <w:sz w:val="20"/>
                <w:szCs w:val="20"/>
                <w:lang w:eastAsia="es-ES"/>
              </w:rPr>
              <w:t>91</w:t>
            </w:r>
          </w:p>
        </w:tc>
        <w:tc>
          <w:tcPr>
            <w:tcW w:w="709" w:type="dxa"/>
            <w:tcBorders>
              <w:bottom w:val="single" w:sz="4" w:space="0" w:color="95B3D7" w:themeColor="accent1" w:themeTint="99"/>
              <w:right w:val="single" w:sz="4" w:space="0" w:color="95B3D7" w:themeColor="accent1" w:themeTint="99"/>
            </w:tcBorders>
            <w:noWrap/>
            <w:vAlign w:val="center"/>
            <w:hideMark/>
          </w:tcPr>
          <w:p w:rsidR="00E66C1D" w:rsidRPr="00F606C7" w:rsidRDefault="00E66C1D" w:rsidP="00682A1A">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b/>
                <w:bCs/>
                <w:color w:val="000000"/>
                <w:sz w:val="20"/>
                <w:szCs w:val="20"/>
                <w:lang w:eastAsia="es-ES"/>
              </w:rPr>
            </w:pPr>
            <w:r w:rsidRPr="00F606C7">
              <w:rPr>
                <w:rFonts w:ascii="Arial" w:eastAsia="Times New Roman" w:hAnsi="Arial" w:cs="Arial"/>
                <w:b/>
                <w:bCs/>
                <w:color w:val="000000"/>
                <w:sz w:val="20"/>
                <w:szCs w:val="20"/>
                <w:lang w:eastAsia="es-ES"/>
              </w:rPr>
              <w:t>0</w:t>
            </w:r>
          </w:p>
        </w:tc>
      </w:tr>
    </w:tbl>
    <w:p w:rsidR="00D365BD" w:rsidRPr="00D365BD" w:rsidRDefault="00D365BD" w:rsidP="00D365BD">
      <w:pPr>
        <w:spacing w:after="0" w:line="240" w:lineRule="auto"/>
        <w:jc w:val="center"/>
        <w:rPr>
          <w:sz w:val="18"/>
          <w:szCs w:val="18"/>
        </w:rPr>
      </w:pPr>
      <w:r w:rsidRPr="00D365BD">
        <w:rPr>
          <w:sz w:val="18"/>
          <w:szCs w:val="18"/>
        </w:rPr>
        <w:t xml:space="preserve">Fuente: </w:t>
      </w:r>
      <w:r>
        <w:rPr>
          <w:sz w:val="18"/>
          <w:szCs w:val="18"/>
        </w:rPr>
        <w:t>Elaboración propia en base a decretos anuales SUBDERE</w:t>
      </w:r>
    </w:p>
    <w:p w:rsidR="00E66C1D" w:rsidRDefault="00E66C1D" w:rsidP="00682A1A">
      <w:pPr>
        <w:spacing w:after="0" w:line="240" w:lineRule="auto"/>
        <w:jc w:val="both"/>
      </w:pPr>
    </w:p>
    <w:p w:rsidR="00CE27DC" w:rsidRPr="009B6D95" w:rsidRDefault="00CE27DC" w:rsidP="009B6D95">
      <w:pPr>
        <w:pStyle w:val="Ttulo2"/>
      </w:pPr>
      <w:bookmarkStart w:id="32" w:name="_Toc341866733"/>
      <w:r w:rsidRPr="009B6D95">
        <w:t>Cupos disponibles por decreto versus cupos efectivamente utilizados</w:t>
      </w:r>
      <w:bookmarkEnd w:id="32"/>
    </w:p>
    <w:p w:rsidR="00D365BD" w:rsidRDefault="00D365BD" w:rsidP="00682A1A">
      <w:pPr>
        <w:spacing w:after="0" w:line="240" w:lineRule="auto"/>
        <w:jc w:val="both"/>
      </w:pPr>
    </w:p>
    <w:p w:rsidR="00941F06" w:rsidRDefault="00941F06" w:rsidP="00682A1A">
      <w:pPr>
        <w:spacing w:after="0" w:line="240" w:lineRule="auto"/>
        <w:jc w:val="both"/>
      </w:pPr>
      <w:r>
        <w:t xml:space="preserve">El </w:t>
      </w:r>
      <w:r w:rsidR="00D365BD">
        <w:t>C</w:t>
      </w:r>
      <w:r>
        <w:t xml:space="preserve">uadro </w:t>
      </w:r>
      <w:r w:rsidR="00D365BD">
        <w:t xml:space="preserve">Nº 4 </w:t>
      </w:r>
      <w:r>
        <w:t>muestra los cupos abiertos por los decretos anuales para entrega de beneficio en cada región y los cupos efectivamente utilizados.</w:t>
      </w:r>
    </w:p>
    <w:p w:rsidR="00D365BD" w:rsidRDefault="00D365BD" w:rsidP="00682A1A">
      <w:pPr>
        <w:spacing w:after="0" w:line="240" w:lineRule="auto"/>
        <w:jc w:val="both"/>
      </w:pPr>
    </w:p>
    <w:p w:rsidR="00A740EE" w:rsidRDefault="00A740EE">
      <w:pPr>
        <w:rPr>
          <w:b/>
        </w:rPr>
      </w:pPr>
      <w:r>
        <w:rPr>
          <w:b/>
        </w:rPr>
        <w:br w:type="page"/>
      </w:r>
    </w:p>
    <w:p w:rsidR="00D365BD" w:rsidRPr="00D365BD" w:rsidRDefault="00D365BD" w:rsidP="00D365BD">
      <w:pPr>
        <w:spacing w:after="0" w:line="240" w:lineRule="auto"/>
        <w:jc w:val="center"/>
        <w:rPr>
          <w:b/>
        </w:rPr>
      </w:pPr>
      <w:r>
        <w:rPr>
          <w:b/>
        </w:rPr>
        <w:lastRenderedPageBreak/>
        <w:t>CUADRO Nº 4</w:t>
      </w:r>
      <w:r w:rsidRPr="00D365BD">
        <w:rPr>
          <w:b/>
        </w:rPr>
        <w:t>:</w:t>
      </w:r>
    </w:p>
    <w:p w:rsidR="00D365BD" w:rsidRPr="00D365BD" w:rsidRDefault="00D365BD" w:rsidP="00D365BD">
      <w:pPr>
        <w:spacing w:after="0" w:line="240" w:lineRule="auto"/>
        <w:jc w:val="center"/>
        <w:rPr>
          <w:b/>
        </w:rPr>
      </w:pPr>
      <w:r>
        <w:rPr>
          <w:b/>
        </w:rPr>
        <w:t>CUPOS ANUALES DISPONIBLES (POR DECRETO SUBDERE) Y CUPOS EFECTIVAMENTE UTILIZADOS</w:t>
      </w:r>
    </w:p>
    <w:tbl>
      <w:tblPr>
        <w:tblStyle w:val="Sombreadomedio1-nfasis11"/>
        <w:tblW w:w="9309" w:type="dxa"/>
        <w:jc w:val="center"/>
        <w:tblInd w:w="-318" w:type="dxa"/>
        <w:tblLook w:val="00E0" w:firstRow="1" w:lastRow="1" w:firstColumn="1" w:lastColumn="0" w:noHBand="0" w:noVBand="0"/>
      </w:tblPr>
      <w:tblGrid>
        <w:gridCol w:w="1971"/>
        <w:gridCol w:w="1290"/>
        <w:gridCol w:w="1741"/>
        <w:gridCol w:w="1283"/>
        <w:gridCol w:w="1741"/>
        <w:gridCol w:w="1283"/>
      </w:tblGrid>
      <w:tr w:rsidR="00941F06" w:rsidRPr="00A0794F" w:rsidTr="00D365BD">
        <w:trPr>
          <w:cnfStyle w:val="100000000000" w:firstRow="1" w:lastRow="0" w:firstColumn="0" w:lastColumn="0" w:oddVBand="0" w:evenVBand="0" w:oddHBand="0"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vMerge w:val="restart"/>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Región</w:t>
            </w:r>
          </w:p>
        </w:tc>
        <w:tc>
          <w:tcPr>
            <w:cnfStyle w:val="000010000000" w:firstRow="0" w:lastRow="0" w:firstColumn="0" w:lastColumn="0" w:oddVBand="1" w:evenVBand="0" w:oddHBand="0" w:evenHBand="0" w:firstRowFirstColumn="0" w:firstRowLastColumn="0" w:lastRowFirstColumn="0" w:lastRowLastColumn="0"/>
            <w:tcW w:w="3031" w:type="dxa"/>
            <w:gridSpan w:val="2"/>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Año 2010</w:t>
            </w:r>
          </w:p>
        </w:tc>
        <w:tc>
          <w:tcPr>
            <w:tcW w:w="3024" w:type="dxa"/>
            <w:gridSpan w:val="2"/>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Año </w:t>
            </w:r>
            <w:r w:rsidRPr="00A0794F">
              <w:rPr>
                <w:rFonts w:ascii="Arial" w:hAnsi="Arial" w:cs="Arial"/>
                <w:sz w:val="20"/>
                <w:szCs w:val="20"/>
              </w:rPr>
              <w:t>2011</w:t>
            </w:r>
          </w:p>
        </w:tc>
        <w:tc>
          <w:tcPr>
            <w:cnfStyle w:val="000010000000" w:firstRow="0" w:lastRow="0" w:firstColumn="0" w:lastColumn="0" w:oddVBand="1" w:evenVBand="0" w:oddHBand="0" w:evenHBand="0" w:firstRowFirstColumn="0" w:firstRowLastColumn="0" w:lastRowFirstColumn="0" w:lastRowLastColumn="0"/>
            <w:tcW w:w="1283" w:type="dxa"/>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Pr>
                <w:rFonts w:ascii="Arial" w:hAnsi="Arial" w:cs="Arial"/>
                <w:sz w:val="20"/>
                <w:szCs w:val="20"/>
              </w:rPr>
              <w:t xml:space="preserve">Año </w:t>
            </w:r>
            <w:r w:rsidRPr="00A0794F">
              <w:rPr>
                <w:rFonts w:ascii="Arial" w:hAnsi="Arial" w:cs="Arial"/>
                <w:sz w:val="20"/>
                <w:szCs w:val="20"/>
              </w:rPr>
              <w:t>2012</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vMerge/>
            <w:tcBorders>
              <w:left w:val="single" w:sz="4" w:space="0" w:color="auto"/>
              <w:bottom w:val="single" w:sz="4" w:space="0" w:color="auto"/>
              <w:right w:val="single" w:sz="4" w:space="0" w:color="auto"/>
            </w:tcBorders>
            <w:vAlign w:val="center"/>
            <w:hideMark/>
          </w:tcPr>
          <w:p w:rsidR="00941F06" w:rsidRPr="00A0794F" w:rsidRDefault="00941F06" w:rsidP="00682A1A">
            <w:pPr>
              <w:jc w:val="center"/>
              <w:rPr>
                <w:rFonts w:ascii="Arial" w:hAnsi="Arial" w:cs="Arial"/>
                <w:sz w:val="20"/>
                <w:szCs w:val="20"/>
              </w:rPr>
            </w:pP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rPr>
                <w:rFonts w:ascii="Arial" w:hAnsi="Arial" w:cs="Arial"/>
                <w:b/>
                <w:bCs/>
                <w:sz w:val="20"/>
                <w:szCs w:val="20"/>
              </w:rPr>
            </w:pPr>
            <w:r w:rsidRPr="00A0794F">
              <w:rPr>
                <w:rFonts w:ascii="Arial" w:hAnsi="Arial" w:cs="Arial"/>
                <w:b/>
                <w:bCs/>
                <w:sz w:val="20"/>
                <w:szCs w:val="20"/>
              </w:rPr>
              <w:t>Cupos Regionales</w:t>
            </w:r>
          </w:p>
        </w:tc>
        <w:tc>
          <w:tcPr>
            <w:tcW w:w="1741"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A0794F">
              <w:rPr>
                <w:rFonts w:ascii="Arial" w:hAnsi="Arial" w:cs="Arial"/>
                <w:b/>
                <w:bCs/>
                <w:sz w:val="20"/>
                <w:szCs w:val="20"/>
              </w:rPr>
              <w:t>Beneficios Entregados</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rPr>
                <w:rFonts w:ascii="Arial" w:hAnsi="Arial" w:cs="Arial"/>
                <w:b/>
                <w:bCs/>
                <w:sz w:val="20"/>
                <w:szCs w:val="20"/>
              </w:rPr>
            </w:pPr>
            <w:r w:rsidRPr="00A0794F">
              <w:rPr>
                <w:rFonts w:ascii="Arial" w:hAnsi="Arial" w:cs="Arial"/>
                <w:b/>
                <w:bCs/>
                <w:sz w:val="20"/>
                <w:szCs w:val="20"/>
              </w:rPr>
              <w:t>Cupos Regionales</w:t>
            </w:r>
          </w:p>
        </w:tc>
        <w:tc>
          <w:tcPr>
            <w:tcW w:w="1741"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A0794F">
              <w:rPr>
                <w:rFonts w:ascii="Arial" w:hAnsi="Arial" w:cs="Arial"/>
                <w:b/>
                <w:bCs/>
                <w:sz w:val="20"/>
                <w:szCs w:val="20"/>
              </w:rPr>
              <w:t>Beneficios Entregados</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rPr>
                <w:rFonts w:ascii="Arial" w:hAnsi="Arial" w:cs="Arial"/>
                <w:b/>
                <w:bCs/>
                <w:sz w:val="20"/>
                <w:szCs w:val="20"/>
              </w:rPr>
            </w:pPr>
            <w:r w:rsidRPr="00A0794F">
              <w:rPr>
                <w:rFonts w:ascii="Arial" w:hAnsi="Arial" w:cs="Arial"/>
                <w:b/>
                <w:bCs/>
                <w:sz w:val="20"/>
                <w:szCs w:val="20"/>
              </w:rPr>
              <w:t>Cupos Regionales</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top w:val="single" w:sz="4" w:space="0" w:color="auto"/>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Tarapacá</w:t>
            </w:r>
          </w:p>
        </w:tc>
        <w:tc>
          <w:tcPr>
            <w:cnfStyle w:val="000010000000" w:firstRow="0" w:lastRow="0" w:firstColumn="0" w:lastColumn="0" w:oddVBand="1" w:evenVBand="0" w:oddHBand="0" w:evenHBand="0" w:firstRowFirstColumn="0" w:firstRowLastColumn="0" w:lastRowFirstColumn="0" w:lastRowLastColumn="0"/>
            <w:tcW w:w="1290" w:type="dxa"/>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5</w:t>
            </w:r>
          </w:p>
        </w:tc>
        <w:tc>
          <w:tcPr>
            <w:tcW w:w="1741" w:type="dxa"/>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2</w:t>
            </w:r>
          </w:p>
        </w:tc>
        <w:tc>
          <w:tcPr>
            <w:cnfStyle w:val="000010000000" w:firstRow="0" w:lastRow="0" w:firstColumn="0" w:lastColumn="0" w:oddVBand="1" w:evenVBand="0" w:oddHBand="0" w:evenHBand="0" w:firstRowFirstColumn="0" w:firstRowLastColumn="0" w:lastRowFirstColumn="0" w:lastRowLastColumn="0"/>
            <w:tcW w:w="1283" w:type="dxa"/>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4</w:t>
            </w:r>
          </w:p>
        </w:tc>
        <w:tc>
          <w:tcPr>
            <w:tcW w:w="1741" w:type="dxa"/>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4</w:t>
            </w:r>
          </w:p>
        </w:tc>
        <w:tc>
          <w:tcPr>
            <w:cnfStyle w:val="000010000000" w:firstRow="0" w:lastRow="0" w:firstColumn="0" w:lastColumn="0" w:oddVBand="1" w:evenVBand="0" w:oddHBand="0" w:evenHBand="0" w:firstRowFirstColumn="0" w:firstRowLastColumn="0" w:lastRowFirstColumn="0" w:lastRowLastColumn="0"/>
            <w:tcW w:w="1283" w:type="dxa"/>
            <w:tcBorders>
              <w:top w:val="single" w:sz="4" w:space="0" w:color="auto"/>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6</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Antofagasta</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4</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4</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5</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7</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Atacama</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4</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8</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Coquimbo</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11</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9</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6</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13</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Valparaíso</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9</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2</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18</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3</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34</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O'Higgins</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20</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26</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9</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32</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Maule</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18</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22</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25</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30</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proofErr w:type="spellStart"/>
            <w:r w:rsidRPr="00A0794F">
              <w:rPr>
                <w:rFonts w:ascii="Arial" w:hAnsi="Arial" w:cs="Arial"/>
                <w:sz w:val="20"/>
                <w:szCs w:val="20"/>
              </w:rPr>
              <w:t>Bio</w:t>
            </w:r>
            <w:proofErr w:type="spellEnd"/>
            <w:r>
              <w:rPr>
                <w:rFonts w:ascii="Arial" w:hAnsi="Arial" w:cs="Arial"/>
                <w:sz w:val="20"/>
                <w:szCs w:val="20"/>
              </w:rPr>
              <w:t xml:space="preserve"> </w:t>
            </w:r>
            <w:proofErr w:type="spellStart"/>
            <w:r w:rsidRPr="00A0794F">
              <w:rPr>
                <w:rFonts w:ascii="Arial" w:hAnsi="Arial" w:cs="Arial"/>
                <w:sz w:val="20"/>
                <w:szCs w:val="20"/>
              </w:rPr>
              <w:t>bio</w:t>
            </w:r>
            <w:proofErr w:type="spellEnd"/>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27</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16</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35</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48</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43</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Araucanía</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27</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7</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26</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27</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32</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Los Lagos</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26</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25</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24</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44</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28</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Aysén</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7</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5</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5</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9</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 xml:space="preserve">Magallanes </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11</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6</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8</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15</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9</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Metropolitana</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5</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2</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5</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4</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26</w:t>
            </w:r>
          </w:p>
        </w:tc>
      </w:tr>
      <w:tr w:rsidR="00941F06" w:rsidRPr="00A0794F" w:rsidTr="00D365B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De Los Ríos</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7</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1</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8</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0794F">
              <w:rPr>
                <w:rFonts w:ascii="Arial" w:hAnsi="Arial" w:cs="Arial"/>
                <w:sz w:val="20"/>
                <w:szCs w:val="20"/>
              </w:rPr>
              <w:t>3</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11</w:t>
            </w:r>
          </w:p>
        </w:tc>
      </w:tr>
      <w:tr w:rsidR="00941F06" w:rsidRPr="00A0794F" w:rsidTr="00D365BD">
        <w:trPr>
          <w:cnfStyle w:val="000000010000" w:firstRow="0" w:lastRow="0" w:firstColumn="0" w:lastColumn="0" w:oddVBand="0" w:evenVBand="0" w:oddHBand="0" w:evenHBand="1"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 xml:space="preserve">Arica y </w:t>
            </w:r>
            <w:proofErr w:type="spellStart"/>
            <w:r w:rsidRPr="00A0794F">
              <w:rPr>
                <w:rFonts w:ascii="Arial" w:hAnsi="Arial" w:cs="Arial"/>
                <w:sz w:val="20"/>
                <w:szCs w:val="20"/>
              </w:rPr>
              <w:t>Parinacota</w:t>
            </w:r>
            <w:proofErr w:type="spellEnd"/>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5</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3</w:t>
            </w:r>
          </w:p>
        </w:tc>
        <w:tc>
          <w:tcPr>
            <w:tcW w:w="1741" w:type="dxa"/>
            <w:tcBorders>
              <w:left w:val="single" w:sz="4" w:space="0" w:color="auto"/>
              <w:right w:val="single" w:sz="4" w:space="0" w:color="auto"/>
            </w:tcBorders>
            <w:noWrap/>
            <w:vAlign w:val="center"/>
            <w:hideMark/>
          </w:tcPr>
          <w:p w:rsidR="00941F06" w:rsidRPr="00A0794F" w:rsidRDefault="00941F06"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A0794F">
              <w:rPr>
                <w:rFonts w:ascii="Arial" w:hAnsi="Arial" w:cs="Arial"/>
                <w:sz w:val="20"/>
                <w:szCs w:val="20"/>
              </w:rPr>
              <w:t>0</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4</w:t>
            </w:r>
          </w:p>
        </w:tc>
      </w:tr>
      <w:tr w:rsidR="00941F06" w:rsidRPr="00A0794F" w:rsidTr="00D365BD">
        <w:trPr>
          <w:cnfStyle w:val="010000000000" w:firstRow="0" w:lastRow="1" w:firstColumn="0" w:lastColumn="0" w:oddVBand="0" w:evenVBand="0" w:oddHBand="0"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71" w:type="dxa"/>
            <w:tcBorders>
              <w:left w:val="single" w:sz="4" w:space="0" w:color="auto"/>
              <w:bottom w:val="single" w:sz="4" w:space="0" w:color="auto"/>
              <w:right w:val="single" w:sz="4" w:space="0" w:color="auto"/>
            </w:tcBorders>
            <w:noWrap/>
            <w:vAlign w:val="center"/>
            <w:hideMark/>
          </w:tcPr>
          <w:p w:rsidR="00941F06" w:rsidRPr="00A0794F" w:rsidRDefault="00941F06" w:rsidP="00682A1A">
            <w:pPr>
              <w:rPr>
                <w:rFonts w:ascii="Arial" w:hAnsi="Arial" w:cs="Arial"/>
                <w:sz w:val="20"/>
                <w:szCs w:val="20"/>
              </w:rPr>
            </w:pPr>
            <w:r w:rsidRPr="00A0794F">
              <w:rPr>
                <w:rFonts w:ascii="Arial" w:hAnsi="Arial" w:cs="Arial"/>
                <w:sz w:val="20"/>
                <w:szCs w:val="20"/>
              </w:rPr>
              <w:t>Total Nacional</w:t>
            </w:r>
          </w:p>
        </w:tc>
        <w:tc>
          <w:tcPr>
            <w:cnfStyle w:val="000010000000" w:firstRow="0" w:lastRow="0" w:firstColumn="0" w:lastColumn="0" w:oddVBand="1" w:evenVBand="0" w:oddHBand="0" w:evenHBand="0" w:firstRowFirstColumn="0" w:firstRowLastColumn="0" w:lastRowFirstColumn="0" w:lastRowLastColumn="0"/>
            <w:tcW w:w="1290"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186</w:t>
            </w:r>
          </w:p>
        </w:tc>
        <w:tc>
          <w:tcPr>
            <w:tcW w:w="1741"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A0794F">
              <w:rPr>
                <w:rFonts w:ascii="Arial" w:hAnsi="Arial" w:cs="Arial"/>
                <w:sz w:val="20"/>
                <w:szCs w:val="20"/>
              </w:rPr>
              <w:t>61</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200</w:t>
            </w:r>
          </w:p>
        </w:tc>
        <w:tc>
          <w:tcPr>
            <w:tcW w:w="1741"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A0794F">
              <w:rPr>
                <w:rFonts w:ascii="Arial" w:hAnsi="Arial" w:cs="Arial"/>
                <w:sz w:val="20"/>
                <w:szCs w:val="20"/>
              </w:rPr>
              <w:t>198</w:t>
            </w:r>
          </w:p>
        </w:tc>
        <w:tc>
          <w:tcPr>
            <w:cnfStyle w:val="000010000000" w:firstRow="0" w:lastRow="0" w:firstColumn="0" w:lastColumn="0" w:oddVBand="1" w:evenVBand="0" w:oddHBand="0" w:evenHBand="0" w:firstRowFirstColumn="0" w:firstRowLastColumn="0" w:lastRowFirstColumn="0" w:lastRowLastColumn="0"/>
            <w:tcW w:w="1283" w:type="dxa"/>
            <w:tcBorders>
              <w:left w:val="single" w:sz="4" w:space="0" w:color="auto"/>
              <w:bottom w:val="single" w:sz="4" w:space="0" w:color="auto"/>
              <w:right w:val="single" w:sz="4" w:space="0" w:color="auto"/>
            </w:tcBorders>
            <w:noWrap/>
            <w:vAlign w:val="center"/>
            <w:hideMark/>
          </w:tcPr>
          <w:p w:rsidR="00941F06" w:rsidRPr="00A0794F" w:rsidRDefault="00941F06" w:rsidP="00682A1A">
            <w:pPr>
              <w:jc w:val="center"/>
              <w:rPr>
                <w:rFonts w:ascii="Arial" w:hAnsi="Arial" w:cs="Arial"/>
                <w:sz w:val="20"/>
                <w:szCs w:val="20"/>
              </w:rPr>
            </w:pPr>
            <w:r w:rsidRPr="00A0794F">
              <w:rPr>
                <w:rFonts w:ascii="Arial" w:hAnsi="Arial" w:cs="Arial"/>
                <w:sz w:val="20"/>
                <w:szCs w:val="20"/>
              </w:rPr>
              <w:t>292</w:t>
            </w:r>
          </w:p>
        </w:tc>
      </w:tr>
    </w:tbl>
    <w:p w:rsidR="00D365BD" w:rsidRPr="00D365BD" w:rsidRDefault="00D365BD" w:rsidP="00D365BD">
      <w:pPr>
        <w:spacing w:after="0" w:line="240" w:lineRule="auto"/>
        <w:jc w:val="center"/>
        <w:rPr>
          <w:sz w:val="18"/>
          <w:szCs w:val="18"/>
        </w:rPr>
      </w:pPr>
      <w:r w:rsidRPr="00D365BD">
        <w:rPr>
          <w:sz w:val="18"/>
          <w:szCs w:val="18"/>
        </w:rPr>
        <w:t xml:space="preserve">Fuente: </w:t>
      </w:r>
      <w:r>
        <w:rPr>
          <w:sz w:val="18"/>
          <w:szCs w:val="18"/>
        </w:rPr>
        <w:t>Elaboración propia en base a decretos anuales SUBDERE</w:t>
      </w:r>
      <w:r w:rsidR="00DA4570">
        <w:rPr>
          <w:sz w:val="18"/>
          <w:szCs w:val="18"/>
        </w:rPr>
        <w:t xml:space="preserve"> e</w:t>
      </w:r>
      <w:r>
        <w:rPr>
          <w:sz w:val="18"/>
          <w:szCs w:val="18"/>
        </w:rPr>
        <w:t xml:space="preserve"> información </w:t>
      </w:r>
      <w:r w:rsidR="00DA4570">
        <w:rPr>
          <w:sz w:val="18"/>
          <w:szCs w:val="18"/>
        </w:rPr>
        <w:t xml:space="preserve">de </w:t>
      </w:r>
      <w:r>
        <w:rPr>
          <w:sz w:val="18"/>
          <w:szCs w:val="18"/>
        </w:rPr>
        <w:t>Tesorería e Intendencias</w:t>
      </w:r>
    </w:p>
    <w:p w:rsidR="00941F06" w:rsidRDefault="00941F06" w:rsidP="00682A1A">
      <w:pPr>
        <w:spacing w:after="0" w:line="240" w:lineRule="auto"/>
        <w:jc w:val="both"/>
      </w:pPr>
    </w:p>
    <w:p w:rsidR="00941F06" w:rsidRDefault="00941F06" w:rsidP="00682A1A">
      <w:pPr>
        <w:spacing w:after="0" w:line="240" w:lineRule="auto"/>
        <w:jc w:val="both"/>
      </w:pPr>
      <w:r>
        <w:t>En primer lugar, se puede ver que, tal como ocurre con el número de comunas, aumenta año a año el número de cupos ofrecido. Ahora bien, a diferencia de lo que ocurría con las comunas, la utilización nacional de cupos aumenta de manera importante, al punto que casi copa el total nacional ofrecido por decreto en 2011 (198 beneficios entregados versus 200 cupos).</w:t>
      </w:r>
      <w:r w:rsidR="00226CE5">
        <w:rPr>
          <w:rStyle w:val="Refdenotaalpie"/>
        </w:rPr>
        <w:footnoteReference w:id="14"/>
      </w:r>
    </w:p>
    <w:p w:rsidR="00D365BD" w:rsidRDefault="00D365BD" w:rsidP="00682A1A">
      <w:pPr>
        <w:spacing w:after="0" w:line="240" w:lineRule="auto"/>
        <w:jc w:val="both"/>
      </w:pPr>
    </w:p>
    <w:p w:rsidR="00941F06" w:rsidRDefault="00941F06" w:rsidP="00682A1A">
      <w:pPr>
        <w:spacing w:after="0" w:line="240" w:lineRule="auto"/>
        <w:jc w:val="both"/>
      </w:pPr>
      <w:r>
        <w:t>A la hora de mirar las cifras por región, se producen anomalías en el segundo año, en las regiones de Antofagasta, Maule, Biobío, Araucanía, Los Lagos y Magallanes, en que los beneficios entregados sobrepasan los legalmente disponibles. Extremos son los casos de Biobío (48 entregados sobre 35 formalmente disponibles) y Los Lagos (44 entregados sobre 24 formalmente disponibles).</w:t>
      </w:r>
    </w:p>
    <w:p w:rsidR="00D365BD" w:rsidRDefault="00D365BD" w:rsidP="00682A1A">
      <w:pPr>
        <w:spacing w:after="0" w:line="240" w:lineRule="auto"/>
        <w:jc w:val="both"/>
      </w:pPr>
    </w:p>
    <w:p w:rsidR="00B00496" w:rsidRDefault="00B00496" w:rsidP="00682A1A">
      <w:pPr>
        <w:spacing w:after="0" w:line="240" w:lineRule="auto"/>
        <w:jc w:val="both"/>
      </w:pPr>
      <w:r>
        <w:t xml:space="preserve">Según las entrevistas realizadas a los encargados regionales, la explicación a lo anterior parece encontrarse en que la </w:t>
      </w:r>
      <w:r w:rsidR="003D58F5">
        <w:t>L</w:t>
      </w:r>
      <w:r>
        <w:t>ey y su reglamento simplemente no son claros y dan espacios para la interpretación, a la vez que no establecen con precisión las respons</w:t>
      </w:r>
      <w:r w:rsidR="00226CE5">
        <w:t>a</w:t>
      </w:r>
      <w:r>
        <w:t>bilidades. Aunque en el caso de Magallanes, por ejemplo, las encargadas han hecho consultas a Contraloría para aclarar dudas de interpretación, en la Región de Los Lagos la persona responsable ha aplicado su propio criterio, entendiendo que los cupos que postulan y ocupan por primera vez en 2011</w:t>
      </w:r>
      <w:r w:rsidR="003D58F5">
        <w:t>,</w:t>
      </w:r>
      <w:r>
        <w:t xml:space="preserve"> se acumulan con los ya ocupados en 2010 que </w:t>
      </w:r>
      <w:proofErr w:type="spellStart"/>
      <w:r>
        <w:t>repostulan</w:t>
      </w:r>
      <w:proofErr w:type="spellEnd"/>
      <w:r>
        <w:t xml:space="preserve"> en 2011. En otros casos, como ocurre en Los Ríos, la</w:t>
      </w:r>
      <w:r w:rsidR="00226CE5">
        <w:t xml:space="preserve"> persona</w:t>
      </w:r>
      <w:r>
        <w:t xml:space="preserve"> responsable </w:t>
      </w:r>
      <w:r w:rsidR="00226CE5">
        <w:t>en</w:t>
      </w:r>
      <w:r>
        <w:t xml:space="preserve"> Intendencia no estaba al tanto que era a ella a quien correspondía controlar que los beneficios se entregaran de acuerd</w:t>
      </w:r>
      <w:r w:rsidR="000372B5">
        <w:t xml:space="preserve">o a la disponibilidad de cupos, aunque como se vio en un </w:t>
      </w:r>
      <w:r w:rsidR="000372B5">
        <w:lastRenderedPageBreak/>
        <w:t>punto anterior de este informe, esto sí está consignado en el inciso tercero del artículo 18 del reglamento de la Ley (</w:t>
      </w:r>
      <w:proofErr w:type="spellStart"/>
      <w:r w:rsidR="000372B5">
        <w:t>Decrto</w:t>
      </w:r>
      <w:proofErr w:type="spellEnd"/>
      <w:r w:rsidR="000372B5">
        <w:t xml:space="preserve"> Nº 403).</w:t>
      </w:r>
    </w:p>
    <w:p w:rsidR="00D365BD" w:rsidRDefault="00D365BD" w:rsidP="00682A1A">
      <w:pPr>
        <w:spacing w:after="0" w:line="240" w:lineRule="auto"/>
        <w:jc w:val="both"/>
      </w:pPr>
    </w:p>
    <w:p w:rsidR="00226CE5" w:rsidRDefault="00226CE5" w:rsidP="00682A1A">
      <w:pPr>
        <w:spacing w:after="0" w:line="240" w:lineRule="auto"/>
        <w:jc w:val="both"/>
      </w:pPr>
      <w:r>
        <w:t xml:space="preserve">Otro dato a destacar del cuadro anterior, es que ni en la Región de Atacama ni en la de Arica y </w:t>
      </w:r>
      <w:proofErr w:type="spellStart"/>
      <w:r>
        <w:t>Parinacota</w:t>
      </w:r>
      <w:proofErr w:type="spellEnd"/>
      <w:r>
        <w:t xml:space="preserve"> se hace uso del beneficio en 2010 ni en 2011, a pesar de contar con cupos asignados por </w:t>
      </w:r>
      <w:r w:rsidR="0080033E">
        <w:t>los</w:t>
      </w:r>
      <w:r>
        <w:t xml:space="preserve"> decretos anuales</w:t>
      </w:r>
      <w:r w:rsidR="0080033E">
        <w:t xml:space="preserve"> respectivos y, por lo tanto, con financiamiento vía Ley de Presupuestos</w:t>
      </w:r>
      <w:r>
        <w:t>.</w:t>
      </w:r>
    </w:p>
    <w:p w:rsidR="00D365BD" w:rsidRDefault="00D365BD" w:rsidP="00682A1A">
      <w:pPr>
        <w:spacing w:after="0" w:line="240" w:lineRule="auto"/>
        <w:jc w:val="both"/>
      </w:pPr>
    </w:p>
    <w:p w:rsidR="00CE27DC" w:rsidRPr="009B6D95" w:rsidRDefault="00CE27DC" w:rsidP="009B6D95">
      <w:pPr>
        <w:pStyle w:val="Ttulo2"/>
      </w:pPr>
      <w:bookmarkStart w:id="33" w:name="_Toc341866734"/>
      <w:r w:rsidRPr="009B6D95">
        <w:t>Número de comunas versus número de cupos</w:t>
      </w:r>
      <w:bookmarkEnd w:id="33"/>
    </w:p>
    <w:p w:rsidR="00D365BD" w:rsidRDefault="00D365BD" w:rsidP="00682A1A">
      <w:pPr>
        <w:spacing w:after="0" w:line="240" w:lineRule="auto"/>
        <w:jc w:val="both"/>
      </w:pPr>
    </w:p>
    <w:p w:rsidR="00CC212A" w:rsidRDefault="00CC212A" w:rsidP="00682A1A">
      <w:pPr>
        <w:spacing w:after="0" w:line="240" w:lineRule="auto"/>
        <w:jc w:val="both"/>
      </w:pPr>
      <w:r>
        <w:t xml:space="preserve">Un ejercicio interesante es el de cruzar el número nacional de cupos con el número nacional de comunas, establecidos anualmente por los correspondientes decretos. </w:t>
      </w:r>
      <w:r w:rsidR="00D365BD">
        <w:t>El Cuadro Nº 5, siguiente,</w:t>
      </w:r>
      <w:r w:rsidR="00CE27DC">
        <w:t xml:space="preserve"> expone los datos.</w:t>
      </w:r>
    </w:p>
    <w:p w:rsidR="00D365BD" w:rsidRDefault="00D365BD" w:rsidP="00682A1A">
      <w:pPr>
        <w:spacing w:after="0" w:line="240" w:lineRule="auto"/>
        <w:jc w:val="both"/>
      </w:pPr>
    </w:p>
    <w:p w:rsidR="00D365BD" w:rsidRPr="00D365BD" w:rsidRDefault="00D365BD" w:rsidP="00D365BD">
      <w:pPr>
        <w:spacing w:after="0" w:line="240" w:lineRule="auto"/>
        <w:jc w:val="center"/>
        <w:rPr>
          <w:b/>
        </w:rPr>
      </w:pPr>
      <w:r>
        <w:rPr>
          <w:b/>
        </w:rPr>
        <w:t>CUADRO Nº 5</w:t>
      </w:r>
      <w:r w:rsidRPr="00D365BD">
        <w:rPr>
          <w:b/>
        </w:rPr>
        <w:t>:</w:t>
      </w:r>
    </w:p>
    <w:p w:rsidR="00D365BD" w:rsidRPr="00D365BD" w:rsidRDefault="00D365BD" w:rsidP="00D365BD">
      <w:pPr>
        <w:spacing w:after="0" w:line="240" w:lineRule="auto"/>
        <w:jc w:val="center"/>
        <w:rPr>
          <w:b/>
        </w:rPr>
      </w:pPr>
      <w:r>
        <w:rPr>
          <w:b/>
        </w:rPr>
        <w:t>VARIACIÓN ANUAL DE NÚMERO DE COMUNAS Y CUPOS BENEFICIARIOS</w:t>
      </w:r>
    </w:p>
    <w:tbl>
      <w:tblPr>
        <w:tblStyle w:val="Sombreadomedio1-nfasis11"/>
        <w:tblW w:w="0" w:type="auto"/>
        <w:jc w:val="center"/>
        <w:tblLook w:val="00A0" w:firstRow="1" w:lastRow="0" w:firstColumn="1" w:lastColumn="0" w:noHBand="0" w:noVBand="0"/>
      </w:tblPr>
      <w:tblGrid>
        <w:gridCol w:w="2802"/>
        <w:gridCol w:w="1200"/>
        <w:gridCol w:w="1200"/>
        <w:gridCol w:w="1200"/>
      </w:tblGrid>
      <w:tr w:rsidR="00CC212A" w:rsidRPr="003156A3" w:rsidTr="00AB198F">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802" w:type="dxa"/>
            <w:tcBorders>
              <w:right w:val="single" w:sz="4" w:space="0" w:color="95B3D7" w:themeColor="accent1" w:themeTint="99"/>
            </w:tcBorders>
            <w:noWrap/>
            <w:vAlign w:val="center"/>
            <w:hideMark/>
          </w:tcPr>
          <w:p w:rsidR="00CC212A" w:rsidRPr="003156A3" w:rsidRDefault="00CC212A" w:rsidP="00682A1A">
            <w:pPr>
              <w:jc w:val="center"/>
              <w:rPr>
                <w:rFonts w:ascii="Arial" w:hAnsi="Arial" w:cs="Arial"/>
                <w:sz w:val="20"/>
                <w:szCs w:val="20"/>
              </w:rPr>
            </w:pPr>
          </w:p>
        </w:tc>
        <w:tc>
          <w:tcPr>
            <w:cnfStyle w:val="000010000000" w:firstRow="0" w:lastRow="0" w:firstColumn="0" w:lastColumn="0" w:oddVBand="1" w:evenVBand="0" w:oddHBand="0" w:evenHBand="0" w:firstRowFirstColumn="0" w:firstRowLastColumn="0" w:lastRowFirstColumn="0" w:lastRowLastColumn="0"/>
            <w:tcW w:w="1200"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rPr>
                <w:rFonts w:ascii="Arial" w:hAnsi="Arial" w:cs="Arial"/>
                <w:sz w:val="20"/>
                <w:szCs w:val="20"/>
              </w:rPr>
            </w:pPr>
            <w:r w:rsidRPr="003156A3">
              <w:rPr>
                <w:rFonts w:ascii="Arial" w:hAnsi="Arial" w:cs="Arial"/>
                <w:sz w:val="20"/>
                <w:szCs w:val="20"/>
              </w:rPr>
              <w:t>2010</w:t>
            </w:r>
          </w:p>
        </w:tc>
        <w:tc>
          <w:tcPr>
            <w:tcW w:w="1200" w:type="dxa"/>
            <w:tcBorders>
              <w:left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3156A3">
              <w:rPr>
                <w:rFonts w:ascii="Arial" w:hAnsi="Arial" w:cs="Arial"/>
                <w:sz w:val="20"/>
                <w:szCs w:val="20"/>
              </w:rPr>
              <w:t>2011</w:t>
            </w:r>
          </w:p>
        </w:tc>
        <w:tc>
          <w:tcPr>
            <w:cnfStyle w:val="000010000000" w:firstRow="0" w:lastRow="0" w:firstColumn="0" w:lastColumn="0" w:oddVBand="1" w:evenVBand="0" w:oddHBand="0" w:evenHBand="0" w:firstRowFirstColumn="0" w:firstRowLastColumn="0" w:lastRowFirstColumn="0" w:lastRowLastColumn="0"/>
            <w:tcW w:w="1200"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rPr>
                <w:rFonts w:ascii="Arial" w:hAnsi="Arial" w:cs="Arial"/>
                <w:sz w:val="20"/>
                <w:szCs w:val="20"/>
              </w:rPr>
            </w:pPr>
            <w:r w:rsidRPr="003156A3">
              <w:rPr>
                <w:rFonts w:ascii="Arial" w:hAnsi="Arial" w:cs="Arial"/>
                <w:sz w:val="20"/>
                <w:szCs w:val="20"/>
              </w:rPr>
              <w:t>2012</w:t>
            </w:r>
          </w:p>
        </w:tc>
      </w:tr>
      <w:tr w:rsidR="00CC212A" w:rsidRPr="003156A3" w:rsidTr="00AB198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802" w:type="dxa"/>
            <w:tcBorders>
              <w:right w:val="single" w:sz="4" w:space="0" w:color="95B3D7" w:themeColor="accent1" w:themeTint="99"/>
            </w:tcBorders>
            <w:shd w:val="clear" w:color="auto" w:fill="auto"/>
            <w:noWrap/>
            <w:vAlign w:val="center"/>
            <w:hideMark/>
          </w:tcPr>
          <w:p w:rsidR="00CC212A" w:rsidRPr="003156A3" w:rsidRDefault="00CC212A" w:rsidP="00682A1A">
            <w:pPr>
              <w:rPr>
                <w:rFonts w:ascii="Arial" w:hAnsi="Arial" w:cs="Arial"/>
                <w:sz w:val="20"/>
                <w:szCs w:val="20"/>
              </w:rPr>
            </w:pPr>
            <w:r w:rsidRPr="003156A3">
              <w:rPr>
                <w:rFonts w:ascii="Arial" w:hAnsi="Arial" w:cs="Arial"/>
                <w:sz w:val="20"/>
                <w:szCs w:val="20"/>
              </w:rPr>
              <w:t>Comunas Decretadas</w:t>
            </w:r>
            <w:r>
              <w:rPr>
                <w:rFonts w:ascii="Arial" w:hAnsi="Arial" w:cs="Arial"/>
                <w:sz w:val="20"/>
                <w:szCs w:val="20"/>
              </w:rPr>
              <w:t xml:space="preserve"> como elegibles</w:t>
            </w:r>
          </w:p>
        </w:tc>
        <w:tc>
          <w:tcPr>
            <w:cnfStyle w:val="000010000000" w:firstRow="0" w:lastRow="0" w:firstColumn="0" w:lastColumn="0" w:oddVBand="1" w:evenVBand="0" w:oddHBand="0" w:evenHBand="0" w:firstRowFirstColumn="0" w:firstRowLastColumn="0" w:lastRowFirstColumn="0" w:lastRowLastColumn="0"/>
            <w:tcW w:w="1200" w:type="dxa"/>
            <w:tcBorders>
              <w:left w:val="single" w:sz="4" w:space="0" w:color="95B3D7" w:themeColor="accent1" w:themeTint="99"/>
              <w:right w:val="single" w:sz="8" w:space="0" w:color="7BA0CD" w:themeColor="accent1" w:themeTint="BF"/>
            </w:tcBorders>
            <w:noWrap/>
            <w:vAlign w:val="center"/>
            <w:hideMark/>
          </w:tcPr>
          <w:p w:rsidR="00CC212A" w:rsidRPr="003156A3" w:rsidRDefault="00CC212A" w:rsidP="00682A1A">
            <w:pPr>
              <w:jc w:val="center"/>
              <w:rPr>
                <w:rFonts w:ascii="Arial" w:hAnsi="Arial" w:cs="Arial"/>
                <w:sz w:val="20"/>
                <w:szCs w:val="20"/>
              </w:rPr>
            </w:pPr>
            <w:r w:rsidRPr="003156A3">
              <w:rPr>
                <w:rFonts w:ascii="Arial" w:hAnsi="Arial" w:cs="Arial"/>
                <w:sz w:val="20"/>
                <w:szCs w:val="20"/>
              </w:rPr>
              <w:t>113</w:t>
            </w:r>
          </w:p>
        </w:tc>
        <w:tc>
          <w:tcPr>
            <w:tcW w:w="1200" w:type="dxa"/>
            <w:tcBorders>
              <w:left w:val="single" w:sz="8" w:space="0" w:color="7BA0CD" w:themeColor="accent1" w:themeTint="BF"/>
              <w:right w:val="single" w:sz="4" w:space="0" w:color="95B3D7" w:themeColor="accent1" w:themeTint="99"/>
            </w:tcBorders>
            <w:shd w:val="clear" w:color="auto" w:fill="auto"/>
            <w:noWrap/>
            <w:vAlign w:val="center"/>
            <w:hideMark/>
          </w:tcPr>
          <w:p w:rsidR="00CC212A" w:rsidRPr="003156A3" w:rsidRDefault="00CC212A"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156A3">
              <w:rPr>
                <w:rFonts w:ascii="Arial" w:hAnsi="Arial" w:cs="Arial"/>
                <w:sz w:val="20"/>
                <w:szCs w:val="20"/>
              </w:rPr>
              <w:t>200</w:t>
            </w:r>
          </w:p>
        </w:tc>
        <w:tc>
          <w:tcPr>
            <w:cnfStyle w:val="000010000000" w:firstRow="0" w:lastRow="0" w:firstColumn="0" w:lastColumn="0" w:oddVBand="1" w:evenVBand="0" w:oddHBand="0" w:evenHBand="0" w:firstRowFirstColumn="0" w:firstRowLastColumn="0" w:lastRowFirstColumn="0" w:lastRowLastColumn="0"/>
            <w:tcW w:w="1200" w:type="dxa"/>
            <w:tcBorders>
              <w:left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rPr>
                <w:rFonts w:ascii="Arial" w:hAnsi="Arial" w:cs="Arial"/>
                <w:sz w:val="20"/>
                <w:szCs w:val="20"/>
              </w:rPr>
            </w:pPr>
            <w:r w:rsidRPr="003156A3">
              <w:rPr>
                <w:rFonts w:ascii="Arial" w:hAnsi="Arial" w:cs="Arial"/>
                <w:sz w:val="20"/>
                <w:szCs w:val="20"/>
              </w:rPr>
              <w:t>291</w:t>
            </w:r>
          </w:p>
        </w:tc>
      </w:tr>
      <w:tr w:rsidR="00CC212A" w:rsidRPr="003156A3" w:rsidTr="00226CE5">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802" w:type="dxa"/>
            <w:tcBorders>
              <w:right w:val="single" w:sz="4" w:space="0" w:color="95B3D7" w:themeColor="accent1" w:themeTint="99"/>
            </w:tcBorders>
            <w:noWrap/>
            <w:vAlign w:val="center"/>
            <w:hideMark/>
          </w:tcPr>
          <w:p w:rsidR="00CC212A" w:rsidRPr="003156A3" w:rsidRDefault="00CC212A" w:rsidP="00682A1A">
            <w:pPr>
              <w:rPr>
                <w:rFonts w:ascii="Arial" w:hAnsi="Arial" w:cs="Arial"/>
                <w:sz w:val="20"/>
                <w:szCs w:val="20"/>
              </w:rPr>
            </w:pPr>
            <w:r w:rsidRPr="003156A3">
              <w:rPr>
                <w:rFonts w:ascii="Arial" w:hAnsi="Arial" w:cs="Arial"/>
                <w:sz w:val="20"/>
                <w:szCs w:val="20"/>
              </w:rPr>
              <w:t>Cupos Regionales</w:t>
            </w:r>
            <w:r>
              <w:rPr>
                <w:rFonts w:ascii="Arial" w:hAnsi="Arial" w:cs="Arial"/>
                <w:sz w:val="20"/>
                <w:szCs w:val="20"/>
              </w:rPr>
              <w:t xml:space="preserve"> Decretados</w:t>
            </w:r>
          </w:p>
        </w:tc>
        <w:tc>
          <w:tcPr>
            <w:cnfStyle w:val="000010000000" w:firstRow="0" w:lastRow="0" w:firstColumn="0" w:lastColumn="0" w:oddVBand="1" w:evenVBand="0" w:oddHBand="0" w:evenHBand="0" w:firstRowFirstColumn="0" w:firstRowLastColumn="0" w:lastRowFirstColumn="0" w:lastRowLastColumn="0"/>
            <w:tcW w:w="1200"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rPr>
                <w:rFonts w:ascii="Arial" w:hAnsi="Arial" w:cs="Arial"/>
                <w:sz w:val="20"/>
                <w:szCs w:val="20"/>
              </w:rPr>
            </w:pPr>
            <w:r w:rsidRPr="003156A3">
              <w:rPr>
                <w:rFonts w:ascii="Arial" w:hAnsi="Arial" w:cs="Arial"/>
                <w:sz w:val="20"/>
                <w:szCs w:val="20"/>
              </w:rPr>
              <w:t>186</w:t>
            </w:r>
          </w:p>
        </w:tc>
        <w:tc>
          <w:tcPr>
            <w:tcW w:w="1200" w:type="dxa"/>
            <w:tcBorders>
              <w:left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3156A3">
              <w:rPr>
                <w:rFonts w:ascii="Arial" w:hAnsi="Arial" w:cs="Arial"/>
                <w:sz w:val="20"/>
                <w:szCs w:val="20"/>
              </w:rPr>
              <w:t>200</w:t>
            </w:r>
          </w:p>
        </w:tc>
        <w:tc>
          <w:tcPr>
            <w:cnfStyle w:val="000010000000" w:firstRow="0" w:lastRow="0" w:firstColumn="0" w:lastColumn="0" w:oddVBand="1" w:evenVBand="0" w:oddHBand="0" w:evenHBand="0" w:firstRowFirstColumn="0" w:firstRowLastColumn="0" w:lastRowFirstColumn="0" w:lastRowLastColumn="0"/>
            <w:tcW w:w="1200"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CC212A" w:rsidRPr="003156A3" w:rsidRDefault="00CC212A" w:rsidP="00682A1A">
            <w:pPr>
              <w:jc w:val="center"/>
              <w:rPr>
                <w:rFonts w:ascii="Arial" w:hAnsi="Arial" w:cs="Arial"/>
                <w:sz w:val="20"/>
                <w:szCs w:val="20"/>
              </w:rPr>
            </w:pPr>
            <w:r w:rsidRPr="003156A3">
              <w:rPr>
                <w:rFonts w:ascii="Arial" w:hAnsi="Arial" w:cs="Arial"/>
                <w:sz w:val="20"/>
                <w:szCs w:val="20"/>
              </w:rPr>
              <w:t>292</w:t>
            </w:r>
          </w:p>
        </w:tc>
      </w:tr>
    </w:tbl>
    <w:p w:rsidR="00D365BD" w:rsidRPr="00D365BD" w:rsidRDefault="00D365BD" w:rsidP="00D365BD">
      <w:pPr>
        <w:spacing w:after="0" w:line="240" w:lineRule="auto"/>
        <w:jc w:val="center"/>
        <w:rPr>
          <w:sz w:val="18"/>
          <w:szCs w:val="18"/>
        </w:rPr>
      </w:pPr>
      <w:r w:rsidRPr="00D365BD">
        <w:rPr>
          <w:sz w:val="18"/>
          <w:szCs w:val="18"/>
        </w:rPr>
        <w:t xml:space="preserve">Fuente: </w:t>
      </w:r>
      <w:r w:rsidR="00E53461">
        <w:rPr>
          <w:sz w:val="18"/>
          <w:szCs w:val="18"/>
        </w:rPr>
        <w:t>DIPRES</w:t>
      </w:r>
      <w:r>
        <w:rPr>
          <w:sz w:val="18"/>
          <w:szCs w:val="18"/>
        </w:rPr>
        <w:t xml:space="preserve"> en base a decretos anuales SUBDERE</w:t>
      </w:r>
    </w:p>
    <w:p w:rsidR="00CC212A" w:rsidRDefault="00CC212A" w:rsidP="00682A1A">
      <w:pPr>
        <w:spacing w:after="0" w:line="240" w:lineRule="auto"/>
        <w:jc w:val="both"/>
      </w:pPr>
    </w:p>
    <w:p w:rsidR="00CE27DC" w:rsidRDefault="00CE27DC" w:rsidP="00682A1A">
      <w:pPr>
        <w:spacing w:after="0" w:line="240" w:lineRule="auto"/>
        <w:jc w:val="both"/>
      </w:pPr>
      <w:r>
        <w:t>Se puede ver que, pasado el año 2010, se equiparó el número de cupos con el número de comunas. Esto ocurre tanto a nivel nacional como para cada región. El criterio que lleva a igualar el número de comunas con el número de cupos no encuentra explicación.</w:t>
      </w:r>
    </w:p>
    <w:p w:rsidR="00D365BD" w:rsidRDefault="00D365BD" w:rsidP="00682A1A">
      <w:pPr>
        <w:spacing w:after="0" w:line="240" w:lineRule="auto"/>
        <w:jc w:val="both"/>
      </w:pPr>
    </w:p>
    <w:p w:rsidR="00CC212A" w:rsidRPr="009B6D95" w:rsidRDefault="00CE27DC" w:rsidP="009B6D95">
      <w:pPr>
        <w:pStyle w:val="Ttulo2"/>
      </w:pPr>
      <w:bookmarkStart w:id="34" w:name="_Toc341866735"/>
      <w:r w:rsidRPr="009B6D95">
        <w:t>Continuidad en el uso del beneficio: permanencia en el cargo</w:t>
      </w:r>
      <w:bookmarkEnd w:id="34"/>
    </w:p>
    <w:p w:rsidR="00D365BD" w:rsidRDefault="00D365BD" w:rsidP="00682A1A">
      <w:pPr>
        <w:spacing w:after="0" w:line="240" w:lineRule="auto"/>
        <w:jc w:val="both"/>
      </w:pPr>
    </w:p>
    <w:p w:rsidR="00CE27DC" w:rsidRDefault="00CE27DC" w:rsidP="00682A1A">
      <w:pPr>
        <w:spacing w:after="0" w:line="240" w:lineRule="auto"/>
        <w:jc w:val="both"/>
      </w:pPr>
      <w:r>
        <w:t>Aún no se han cumplido 3 años de proceso de entrega del beneficio, por lo que ninguno de los beneficiarios ha recibido el pago adicional previsto por la ley para el caso de completarse ese período de desempeño.</w:t>
      </w:r>
      <w:r w:rsidR="00EC3D8B">
        <w:t xml:space="preserve"> Recordemos que ésta establece en su artículo 2º que por el tercer año consecutivo de labores en la misma institución, el beneficiario podrá acceder a un pago adicional por un monto equivalente a 3 veces el valor de la cuota anual que le correspondería pagar durante ese último año, con un tope de 48 UTM.</w:t>
      </w:r>
    </w:p>
    <w:p w:rsidR="00D365BD" w:rsidRDefault="00D365BD" w:rsidP="00682A1A">
      <w:pPr>
        <w:spacing w:after="0" w:line="240" w:lineRule="auto"/>
        <w:jc w:val="both"/>
      </w:pPr>
    </w:p>
    <w:p w:rsidR="00EC3D8B" w:rsidRDefault="00EC3D8B" w:rsidP="00682A1A">
      <w:pPr>
        <w:spacing w:after="0" w:line="240" w:lineRule="auto"/>
        <w:jc w:val="both"/>
      </w:pPr>
      <w:r>
        <w:t xml:space="preserve">El </w:t>
      </w:r>
      <w:r w:rsidR="00E53461">
        <w:t>Cuadro Nº 6</w:t>
      </w:r>
      <w:r>
        <w:t xml:space="preserve"> presenta </w:t>
      </w:r>
      <w:r w:rsidR="006A6D00">
        <w:t>las cifras regionales y nacionales</w:t>
      </w:r>
      <w:r>
        <w:t xml:space="preserve"> de los profesionales que obtuvieron el beneficio por dos años consecutivos (esto es, en los dos procesos ya cerrados).</w:t>
      </w:r>
    </w:p>
    <w:p w:rsidR="00D365BD" w:rsidRDefault="00D365BD" w:rsidP="00682A1A">
      <w:pPr>
        <w:spacing w:after="0" w:line="240" w:lineRule="auto"/>
        <w:jc w:val="both"/>
      </w:pPr>
    </w:p>
    <w:p w:rsidR="00A740EE" w:rsidRDefault="00A740EE">
      <w:pPr>
        <w:rPr>
          <w:b/>
        </w:rPr>
      </w:pPr>
      <w:r>
        <w:rPr>
          <w:b/>
        </w:rPr>
        <w:br w:type="page"/>
      </w:r>
    </w:p>
    <w:p w:rsidR="00E53461" w:rsidRPr="00D365BD" w:rsidRDefault="00E53461" w:rsidP="00E53461">
      <w:pPr>
        <w:spacing w:after="0" w:line="240" w:lineRule="auto"/>
        <w:jc w:val="center"/>
        <w:rPr>
          <w:b/>
        </w:rPr>
      </w:pPr>
      <w:r>
        <w:rPr>
          <w:b/>
        </w:rPr>
        <w:lastRenderedPageBreak/>
        <w:t>CUADRO Nº 6</w:t>
      </w:r>
      <w:r w:rsidRPr="00D365BD">
        <w:rPr>
          <w:b/>
        </w:rPr>
        <w:t>:</w:t>
      </w:r>
    </w:p>
    <w:p w:rsidR="00E53461" w:rsidRPr="00D365BD" w:rsidRDefault="00E53461" w:rsidP="00E53461">
      <w:pPr>
        <w:spacing w:after="0" w:line="240" w:lineRule="auto"/>
        <w:jc w:val="center"/>
        <w:rPr>
          <w:b/>
        </w:rPr>
      </w:pPr>
      <w:r>
        <w:rPr>
          <w:b/>
        </w:rPr>
        <w:t>CONTINUIDAD DE LOS PROFESIONALES EN EL USO DEL BENEFICIO</w:t>
      </w:r>
    </w:p>
    <w:tbl>
      <w:tblPr>
        <w:tblStyle w:val="Sombreadomedio1-nfasis11"/>
        <w:tblW w:w="0" w:type="auto"/>
        <w:jc w:val="center"/>
        <w:tblLook w:val="04E0" w:firstRow="1" w:lastRow="1" w:firstColumn="1" w:lastColumn="0" w:noHBand="0" w:noVBand="1"/>
      </w:tblPr>
      <w:tblGrid>
        <w:gridCol w:w="1699"/>
        <w:gridCol w:w="2030"/>
        <w:gridCol w:w="1822"/>
        <w:gridCol w:w="2234"/>
      </w:tblGrid>
      <w:tr w:rsidR="00CE27DC" w:rsidRPr="005D7042" w:rsidTr="003421C8">
        <w:trPr>
          <w:cnfStyle w:val="100000000000" w:firstRow="1" w:lastRow="0" w:firstColumn="0" w:lastColumn="0" w:oddVBand="0" w:evenVBand="0" w:oddHBand="0" w:evenHBand="0" w:firstRowFirstColumn="0" w:firstRowLastColumn="0" w:lastRowFirstColumn="0" w:lastRowLastColumn="0"/>
          <w:trHeight w:val="855"/>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Región</w:t>
            </w:r>
          </w:p>
        </w:tc>
        <w:tc>
          <w:tcPr>
            <w:tcW w:w="2030" w:type="dxa"/>
            <w:tcBorders>
              <w:top w:val="single" w:sz="4" w:space="0" w:color="95B3D7" w:themeColor="accent1" w:themeTint="99"/>
              <w:left w:val="single" w:sz="4" w:space="0" w:color="95B3D7" w:themeColor="accent1" w:themeTint="99"/>
              <w:right w:val="single" w:sz="4" w:space="0" w:color="95B3D7" w:themeColor="accent1" w:themeTint="99"/>
            </w:tcBorders>
            <w:vAlign w:val="center"/>
            <w:hideMark/>
          </w:tcPr>
          <w:p w:rsidR="00CE27DC" w:rsidRPr="005D7042" w:rsidRDefault="00CE27DC"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5D7042">
              <w:rPr>
                <w:rFonts w:ascii="Arial" w:hAnsi="Arial" w:cs="Arial"/>
                <w:sz w:val="20"/>
                <w:szCs w:val="20"/>
              </w:rPr>
              <w:t>Obtuvieron beneficio por ambos años</w:t>
            </w:r>
          </w:p>
        </w:tc>
        <w:tc>
          <w:tcPr>
            <w:tcW w:w="1822" w:type="dxa"/>
            <w:tcBorders>
              <w:left w:val="single" w:sz="4" w:space="0" w:color="95B3D7" w:themeColor="accent1" w:themeTint="99"/>
              <w:right w:val="single" w:sz="4" w:space="0" w:color="95B3D7" w:themeColor="accent1" w:themeTint="99"/>
            </w:tcBorders>
            <w:vAlign w:val="center"/>
            <w:hideMark/>
          </w:tcPr>
          <w:p w:rsidR="00CE27DC" w:rsidRPr="005D7042" w:rsidRDefault="00CE27DC"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5D7042">
              <w:rPr>
                <w:rFonts w:ascii="Arial" w:hAnsi="Arial" w:cs="Arial"/>
                <w:sz w:val="20"/>
                <w:szCs w:val="20"/>
              </w:rPr>
              <w:t>Obtuvieron beneficio sólo un año</w:t>
            </w:r>
          </w:p>
        </w:tc>
        <w:tc>
          <w:tcPr>
            <w:tcW w:w="2234" w:type="dxa"/>
            <w:tcBorders>
              <w:top w:val="single" w:sz="4" w:space="0" w:color="95B3D7" w:themeColor="accent1" w:themeTint="99"/>
              <w:left w:val="single" w:sz="4" w:space="0" w:color="95B3D7" w:themeColor="accent1" w:themeTint="99"/>
              <w:right w:val="single" w:sz="4" w:space="0" w:color="95B3D7" w:themeColor="accent1" w:themeTint="99"/>
            </w:tcBorders>
            <w:vAlign w:val="center"/>
            <w:hideMark/>
          </w:tcPr>
          <w:p w:rsidR="00CE27DC" w:rsidRPr="005D7042" w:rsidRDefault="00CE27DC"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5D7042">
              <w:rPr>
                <w:rFonts w:ascii="Arial" w:hAnsi="Arial" w:cs="Arial"/>
                <w:sz w:val="20"/>
                <w:szCs w:val="20"/>
              </w:rPr>
              <w:t>Total de Beneficios entregados en ambos años</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Tarapacá</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2</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4</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6</w:t>
            </w:r>
          </w:p>
        </w:tc>
      </w:tr>
      <w:tr w:rsidR="00CE27DC" w:rsidRPr="005D7042" w:rsidTr="003421C8">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Antofagasta</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1</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4</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5</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 xml:space="preserve">Coquimbo </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1</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5</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6</w:t>
            </w:r>
          </w:p>
        </w:tc>
      </w:tr>
      <w:tr w:rsidR="00CE27DC" w:rsidRPr="005D7042" w:rsidTr="003421C8">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Valparaíso</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1</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4</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5</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O</w:t>
            </w:r>
            <w:r>
              <w:rPr>
                <w:rFonts w:ascii="Arial" w:hAnsi="Arial" w:cs="Arial"/>
                <w:sz w:val="20"/>
                <w:szCs w:val="20"/>
              </w:rPr>
              <w:t xml:space="preserve"> </w:t>
            </w:r>
            <w:proofErr w:type="spellStart"/>
            <w:r w:rsidRPr="005D7042">
              <w:rPr>
                <w:rFonts w:ascii="Arial" w:hAnsi="Arial" w:cs="Arial"/>
                <w:sz w:val="20"/>
                <w:szCs w:val="20"/>
              </w:rPr>
              <w:t>Higgins</w:t>
            </w:r>
            <w:proofErr w:type="spellEnd"/>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1</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8</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9</w:t>
            </w:r>
          </w:p>
        </w:tc>
      </w:tr>
      <w:tr w:rsidR="00CE27DC" w:rsidRPr="005D7042" w:rsidTr="003421C8">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Maule</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6</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19</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25</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proofErr w:type="spellStart"/>
            <w:r w:rsidRPr="005D7042">
              <w:rPr>
                <w:rFonts w:ascii="Arial" w:hAnsi="Arial" w:cs="Arial"/>
                <w:sz w:val="20"/>
                <w:szCs w:val="20"/>
              </w:rPr>
              <w:t>Bio</w:t>
            </w:r>
            <w:proofErr w:type="spellEnd"/>
            <w:r>
              <w:rPr>
                <w:rFonts w:ascii="Arial" w:hAnsi="Arial" w:cs="Arial"/>
                <w:sz w:val="20"/>
                <w:szCs w:val="20"/>
              </w:rPr>
              <w:t xml:space="preserve"> </w:t>
            </w:r>
            <w:proofErr w:type="spellStart"/>
            <w:r w:rsidRPr="005D7042">
              <w:rPr>
                <w:rFonts w:ascii="Arial" w:hAnsi="Arial" w:cs="Arial"/>
                <w:sz w:val="20"/>
                <w:szCs w:val="20"/>
              </w:rPr>
              <w:t>bio</w:t>
            </w:r>
            <w:proofErr w:type="spellEnd"/>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22</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42</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64</w:t>
            </w:r>
          </w:p>
        </w:tc>
      </w:tr>
      <w:tr w:rsidR="00CE27DC" w:rsidRPr="005D7042" w:rsidTr="003421C8">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Araucanía</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7</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27</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34</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Los Lagos</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19</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50</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69</w:t>
            </w:r>
          </w:p>
        </w:tc>
      </w:tr>
      <w:tr w:rsidR="00CE27DC" w:rsidRPr="005D7042" w:rsidTr="003421C8">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 xml:space="preserve">Aysén </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0</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5</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5</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 xml:space="preserve">Magallanes </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5</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16</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21</w:t>
            </w:r>
          </w:p>
        </w:tc>
      </w:tr>
      <w:tr w:rsidR="00CE27DC" w:rsidRPr="005D7042" w:rsidTr="003421C8">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Metropolitana</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1</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5</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5D7042">
              <w:rPr>
                <w:rFonts w:ascii="Arial" w:hAnsi="Arial" w:cs="Arial"/>
                <w:sz w:val="20"/>
                <w:szCs w:val="20"/>
              </w:rPr>
              <w:t>6</w:t>
            </w:r>
          </w:p>
        </w:tc>
      </w:tr>
      <w:tr w:rsidR="00CE27DC" w:rsidRPr="005D7042" w:rsidTr="003421C8">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De Los Ríos</w:t>
            </w:r>
          </w:p>
        </w:tc>
        <w:tc>
          <w:tcPr>
            <w:tcW w:w="2030"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1</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3</w:t>
            </w:r>
          </w:p>
        </w:tc>
        <w:tc>
          <w:tcPr>
            <w:tcW w:w="2234"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5D7042">
              <w:rPr>
                <w:rFonts w:ascii="Arial" w:hAnsi="Arial" w:cs="Arial"/>
                <w:sz w:val="20"/>
                <w:szCs w:val="20"/>
              </w:rPr>
              <w:t>4</w:t>
            </w:r>
          </w:p>
        </w:tc>
      </w:tr>
      <w:tr w:rsidR="00CE27DC" w:rsidRPr="005D7042" w:rsidTr="003421C8">
        <w:trPr>
          <w:cnfStyle w:val="010000000000" w:firstRow="0" w:lastRow="1"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699" w:type="dxa"/>
            <w:tcBorders>
              <w:right w:val="single" w:sz="4" w:space="0" w:color="95B3D7" w:themeColor="accent1" w:themeTint="99"/>
            </w:tcBorders>
            <w:noWrap/>
            <w:vAlign w:val="center"/>
            <w:hideMark/>
          </w:tcPr>
          <w:p w:rsidR="00CE27DC" w:rsidRPr="005D7042" w:rsidRDefault="00CE27DC" w:rsidP="00682A1A">
            <w:pPr>
              <w:rPr>
                <w:rFonts w:ascii="Arial" w:hAnsi="Arial" w:cs="Arial"/>
                <w:sz w:val="20"/>
                <w:szCs w:val="20"/>
              </w:rPr>
            </w:pPr>
            <w:r w:rsidRPr="005D7042">
              <w:rPr>
                <w:rFonts w:ascii="Arial" w:hAnsi="Arial" w:cs="Arial"/>
                <w:sz w:val="20"/>
                <w:szCs w:val="20"/>
              </w:rPr>
              <w:t>Total Nacional</w:t>
            </w:r>
          </w:p>
        </w:tc>
        <w:tc>
          <w:tcPr>
            <w:tcW w:w="2030"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5D7042">
              <w:rPr>
                <w:rFonts w:ascii="Arial" w:hAnsi="Arial" w:cs="Arial"/>
                <w:sz w:val="20"/>
                <w:szCs w:val="20"/>
              </w:rPr>
              <w:t>67</w:t>
            </w:r>
          </w:p>
        </w:tc>
        <w:tc>
          <w:tcPr>
            <w:tcW w:w="1822" w:type="dxa"/>
            <w:tcBorders>
              <w:left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5D7042">
              <w:rPr>
                <w:rFonts w:ascii="Arial" w:hAnsi="Arial" w:cs="Arial"/>
                <w:sz w:val="20"/>
                <w:szCs w:val="20"/>
              </w:rPr>
              <w:t>192</w:t>
            </w:r>
          </w:p>
        </w:tc>
        <w:tc>
          <w:tcPr>
            <w:tcW w:w="2234"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CE27DC" w:rsidRPr="005D7042" w:rsidRDefault="00CE27DC"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5D7042">
              <w:rPr>
                <w:rFonts w:ascii="Arial" w:hAnsi="Arial" w:cs="Arial"/>
                <w:sz w:val="20"/>
                <w:szCs w:val="20"/>
              </w:rPr>
              <w:t>259</w:t>
            </w:r>
          </w:p>
        </w:tc>
      </w:tr>
    </w:tbl>
    <w:p w:rsidR="00E53461" w:rsidRPr="00D365BD" w:rsidRDefault="00E53461" w:rsidP="00E53461">
      <w:pPr>
        <w:spacing w:after="0" w:line="240" w:lineRule="auto"/>
        <w:jc w:val="center"/>
        <w:rPr>
          <w:sz w:val="18"/>
          <w:szCs w:val="18"/>
        </w:rPr>
      </w:pPr>
      <w:r w:rsidRPr="00D365BD">
        <w:rPr>
          <w:sz w:val="18"/>
          <w:szCs w:val="18"/>
        </w:rPr>
        <w:t xml:space="preserve">Fuente: </w:t>
      </w:r>
      <w:r>
        <w:rPr>
          <w:sz w:val="18"/>
          <w:szCs w:val="18"/>
        </w:rPr>
        <w:t>DIPRES en base a información de Tesorería e Intendencias</w:t>
      </w:r>
    </w:p>
    <w:p w:rsidR="00EC3D8B" w:rsidRDefault="00EC3D8B" w:rsidP="00682A1A">
      <w:pPr>
        <w:spacing w:after="0" w:line="240" w:lineRule="auto"/>
        <w:jc w:val="both"/>
      </w:pPr>
    </w:p>
    <w:p w:rsidR="00EC3D8B" w:rsidRDefault="00EC3D8B" w:rsidP="00682A1A">
      <w:pPr>
        <w:spacing w:after="0" w:line="240" w:lineRule="auto"/>
        <w:jc w:val="both"/>
      </w:pPr>
      <w:r>
        <w:t>Son 67 los beneficiarios que, de haber continuado en sus funciones en 2011 (y postulado por tercera vez al beneficio),</w:t>
      </w:r>
      <w:r w:rsidRPr="00CE27DC">
        <w:t xml:space="preserve"> podrían acceder al </w:t>
      </w:r>
      <w:r>
        <w:t xml:space="preserve">pago </w:t>
      </w:r>
      <w:r w:rsidRPr="00CE27DC">
        <w:t>adicional</w:t>
      </w:r>
      <w:r>
        <w:t xml:space="preserve"> mencionado</w:t>
      </w:r>
      <w:r w:rsidRPr="00CE27DC">
        <w:t>.</w:t>
      </w:r>
    </w:p>
    <w:p w:rsidR="00E53461" w:rsidRPr="00CE27DC" w:rsidRDefault="00E53461" w:rsidP="00682A1A">
      <w:pPr>
        <w:spacing w:after="0" w:line="240" w:lineRule="auto"/>
        <w:jc w:val="both"/>
      </w:pPr>
    </w:p>
    <w:p w:rsidR="00EC3D8B" w:rsidRDefault="00EC3D8B" w:rsidP="00682A1A">
      <w:pPr>
        <w:spacing w:after="0" w:line="240" w:lineRule="auto"/>
        <w:jc w:val="both"/>
      </w:pPr>
      <w:r>
        <w:t xml:space="preserve">Respecto al punto que aquí se revisa surgen algunas preguntas que no están resueltas ni por los instrumentos reglamentarios ni por las prácticas procedimentales: ¿Qué pasa si al tercer año el beneficiario ha saldado la totalidad de su deuda? ¿Se queda sin el </w:t>
      </w:r>
      <w:r w:rsidR="00B7703C">
        <w:t>beneficio adicional</w:t>
      </w:r>
      <w:r>
        <w:t>?</w:t>
      </w:r>
      <w:r w:rsidR="002B448D">
        <w:t xml:space="preserve"> </w:t>
      </w:r>
      <w:r>
        <w:t>¿Qué ocurre si la comuna en que el profesional laboró en 2009 y que lo hizo acreedor del beneficio</w:t>
      </w:r>
      <w:r w:rsidR="00AB198F">
        <w:t>,</w:t>
      </w:r>
      <w:r>
        <w:t xml:space="preserve"> salió en 2010 del listado de las elegibles (decreto)?</w:t>
      </w:r>
    </w:p>
    <w:p w:rsidR="00E53461" w:rsidRDefault="00E53461" w:rsidP="00682A1A">
      <w:pPr>
        <w:spacing w:after="0" w:line="240" w:lineRule="auto"/>
        <w:jc w:val="both"/>
      </w:pPr>
    </w:p>
    <w:p w:rsidR="001602B6" w:rsidRDefault="001602B6" w:rsidP="00682A1A">
      <w:pPr>
        <w:spacing w:after="0" w:line="240" w:lineRule="auto"/>
        <w:jc w:val="both"/>
      </w:pPr>
      <w:r>
        <w:t>Por último</w:t>
      </w:r>
      <w:r w:rsidR="003D58F5">
        <w:t>, como ya hemos planteado en este informe</w:t>
      </w:r>
      <w:r>
        <w:t xml:space="preserve">, un problema que hasta ahora no ha sido grave, pero que a la larga podría serlo, es que </w:t>
      </w:r>
      <w:r w:rsidRPr="002F3A1C">
        <w:t xml:space="preserve">ninguna de las instituciones que intervienen en el proceso de aplicación de la ley, salvo ciertas </w:t>
      </w:r>
      <w:r>
        <w:t>i</w:t>
      </w:r>
      <w:r w:rsidRPr="002F3A1C">
        <w:t>ntendencias, se hace cargo de priorizar las postulaciones para el caso de un exceso en relación con los cupos regionales. Así, hay regiones en las que el beneficio se ha entregado a más postulantes de los debidos. Los administradores fi</w:t>
      </w:r>
      <w:r w:rsidR="003D58F5">
        <w:t>nancieros y la Comisión Ingresa</w:t>
      </w:r>
      <w:r w:rsidRPr="002F3A1C">
        <w:t xml:space="preserve"> sólo cumplen con construir la nómina de candidatos que reúnen los requisitos, pero, como es de esperar, tampoco se preocupan de filtrar esas nóminas en virtud del número regional de cupos (ni tendrían cómo hacerlo). La Tesorería sólo cursa pagos, en función de la información acreditada por esos mismos administradores y Comisión. La SUBDERE, por su parte, salvo definir los cupos por decreto, no hace un seguimiento de su correcto uso, ni está claro que le corresponda hacerlo.</w:t>
      </w:r>
      <w:r w:rsidR="003D58F5">
        <w:t xml:space="preserve"> Y es que ni la L</w:t>
      </w:r>
      <w:r>
        <w:t>ey ni el reglamento establecen quien debe priorizar ni criterios para hacerlo.</w:t>
      </w:r>
    </w:p>
    <w:p w:rsidR="001602B6" w:rsidRDefault="001602B6" w:rsidP="00682A1A">
      <w:pPr>
        <w:spacing w:after="0" w:line="240" w:lineRule="auto"/>
        <w:jc w:val="both"/>
      </w:pPr>
    </w:p>
    <w:p w:rsidR="00A740EE" w:rsidRDefault="00A740EE">
      <w:pPr>
        <w:rPr>
          <w:b/>
        </w:rPr>
      </w:pPr>
      <w:r>
        <w:br w:type="page"/>
      </w:r>
    </w:p>
    <w:p w:rsidR="00EB386B" w:rsidRPr="009B6D95" w:rsidRDefault="00EB386B" w:rsidP="009B6D95">
      <w:pPr>
        <w:pStyle w:val="Ttulo2"/>
      </w:pPr>
      <w:bookmarkStart w:id="35" w:name="_Toc341866736"/>
      <w:r w:rsidRPr="009B6D95">
        <w:lastRenderedPageBreak/>
        <w:t>Otras consideraciones sobre la cobertura</w:t>
      </w:r>
      <w:bookmarkEnd w:id="35"/>
    </w:p>
    <w:p w:rsidR="00EB386B" w:rsidRDefault="00EB386B" w:rsidP="00EB386B">
      <w:pPr>
        <w:spacing w:after="0" w:line="240" w:lineRule="auto"/>
        <w:jc w:val="both"/>
      </w:pPr>
    </w:p>
    <w:p w:rsidR="00EB386B" w:rsidRDefault="00EB386B" w:rsidP="00EB386B">
      <w:pPr>
        <w:spacing w:after="0" w:line="240" w:lineRule="auto"/>
        <w:jc w:val="both"/>
      </w:pPr>
      <w:r>
        <w:t>Un punto, por lo demás bastante evidente, que destacan tanto los responsables de las Intendencias como los propios beneficiarios encuestados, es que la Ley Nº 20.330 sólo cubre las formas de endeudamiento que, si bien eran las únicas hasta hace algunos años, dejaron de serlo recientemente y a ellas se han agregado otras como los créditos CORFO o endeudamientos con la banca privada.</w:t>
      </w:r>
    </w:p>
    <w:p w:rsidR="00EB386B" w:rsidRDefault="00EB386B" w:rsidP="00EB386B">
      <w:pPr>
        <w:spacing w:after="0" w:line="240" w:lineRule="auto"/>
        <w:jc w:val="both"/>
      </w:pPr>
    </w:p>
    <w:p w:rsidR="00EB386B" w:rsidRDefault="00EB386B" w:rsidP="00EB386B">
      <w:pPr>
        <w:spacing w:after="0" w:line="240" w:lineRule="auto"/>
        <w:jc w:val="both"/>
      </w:pPr>
      <w:r>
        <w:t>Fuera de ello, el monto del beneficio depende del sueldo y de lo pagado en deuda el año anterior, si la cuota es anual. Según informan beneficiario</w:t>
      </w:r>
      <w:r w:rsidR="003D58F5">
        <w:t>s</w:t>
      </w:r>
      <w:r>
        <w:t xml:space="preserve"> y encargados regionales, en la mayoría de los casos los sueldos no son muy altos</w:t>
      </w:r>
      <w:r w:rsidR="00061685">
        <w:t>,</w:t>
      </w:r>
      <w:r>
        <w:t xml:space="preserve"> por lo que la cuota que se aplica </w:t>
      </w:r>
      <w:r w:rsidR="00061685">
        <w:t>suele ser</w:t>
      </w:r>
      <w:r>
        <w:t xml:space="preserve"> menor a las</w:t>
      </w:r>
      <w:r w:rsidR="00061685">
        <w:t xml:space="preserve"> 16 UTM, (ver Cuadro Nº 8, más adelante). Por este motivo, </w:t>
      </w:r>
      <w:r>
        <w:t>propone</w:t>
      </w:r>
      <w:r w:rsidR="00061685">
        <w:t>n</w:t>
      </w:r>
      <w:r>
        <w:t xml:space="preserve"> modificar el apartado de la ley que dice que se paga hasta 16 UTM, y entregar a todos por igual la suma completa, para reba</w:t>
      </w:r>
      <w:r w:rsidR="00061685">
        <w:t>jar realmente el endeudamiento.</w:t>
      </w:r>
    </w:p>
    <w:p w:rsidR="00061685" w:rsidRDefault="00061685" w:rsidP="00EB386B">
      <w:pPr>
        <w:spacing w:after="0" w:line="240" w:lineRule="auto"/>
        <w:jc w:val="both"/>
      </w:pPr>
    </w:p>
    <w:p w:rsidR="00E93387" w:rsidRDefault="00E93387" w:rsidP="00682A1A">
      <w:pPr>
        <w:spacing w:after="0" w:line="240" w:lineRule="auto"/>
        <w:jc w:val="both"/>
      </w:pPr>
    </w:p>
    <w:p w:rsidR="0002588C" w:rsidRPr="009B6D95" w:rsidRDefault="0002588C" w:rsidP="009B6D95">
      <w:pPr>
        <w:pStyle w:val="Ttulo1"/>
        <w:numPr>
          <w:ilvl w:val="0"/>
          <w:numId w:val="5"/>
        </w:numPr>
      </w:pPr>
      <w:bookmarkStart w:id="36" w:name="_Toc341866737"/>
      <w:r w:rsidRPr="009B6D95">
        <w:t>APORTE DE LA APLICACIÓN DE LA LEY A LAS INSTITUCIONES RECEPTORAS</w:t>
      </w:r>
      <w:r w:rsidR="003D58F5">
        <w:t xml:space="preserve"> (MUNICIPIOS Y OTRAS)</w:t>
      </w:r>
      <w:bookmarkEnd w:id="36"/>
    </w:p>
    <w:p w:rsidR="0002588C" w:rsidRDefault="0002588C" w:rsidP="0002588C">
      <w:pPr>
        <w:spacing w:after="0" w:line="240" w:lineRule="auto"/>
        <w:jc w:val="both"/>
      </w:pPr>
    </w:p>
    <w:p w:rsidR="0002588C" w:rsidRDefault="0002588C" w:rsidP="0002588C">
      <w:pPr>
        <w:spacing w:after="0" w:line="240" w:lineRule="auto"/>
        <w:jc w:val="both"/>
      </w:pPr>
      <w:r>
        <w:t>Aunque entre los objetivos que inicialmente impulsaron el diseño del programa de beneficios de la Ley Nº 20.330</w:t>
      </w:r>
      <w:r w:rsidR="00A60AAB">
        <w:t>,</w:t>
      </w:r>
      <w:r>
        <w:t xml:space="preserve"> se encontraba el atraer la instalación y permanencia de profesionales y técnicos en las comunas más rezagadas del desarrollo nacional, lo cierto es que el producto finalmente concebido se alejó de esas intenciones y terminó siendo un premio </w:t>
      </w:r>
      <w:r w:rsidRPr="000703E8">
        <w:rPr>
          <w:i/>
        </w:rPr>
        <w:t>posterior</w:t>
      </w:r>
      <w:r>
        <w:t xml:space="preserve"> a ese desempeño laboral, del que los beneficiados se fueron enterando cuando ya eran funcionarios, tanto por el diseño mismo del programa como por </w:t>
      </w:r>
      <w:r w:rsidR="00A60AAB">
        <w:t xml:space="preserve">su limitada </w:t>
      </w:r>
      <w:r>
        <w:t>difusión (lo hemos visto en puntos anteriores de este informe). Eventualmente ha fomentado la permanencia, aunque, según arroja buena parte de las encuestas a beneficiarios, esa permanencia en muchos casos ha respondido a otras razones, como la pertenencia familiar a la comuna o la región, la falta de otras oportunidades laborales, el interés en el tipo de actividad laboral, una larga carrera desarrollada en el mismo lugar (en el caso de los beneficios erróneamente asignados), etc.</w:t>
      </w:r>
    </w:p>
    <w:p w:rsidR="0002588C" w:rsidRDefault="0002588C" w:rsidP="0002588C">
      <w:pPr>
        <w:spacing w:after="0" w:line="240" w:lineRule="auto"/>
        <w:jc w:val="both"/>
      </w:pPr>
    </w:p>
    <w:p w:rsidR="0002588C" w:rsidRDefault="0002588C" w:rsidP="0002588C">
      <w:pPr>
        <w:spacing w:after="0" w:line="240" w:lineRule="auto"/>
        <w:jc w:val="both"/>
      </w:pPr>
      <w:r>
        <w:t xml:space="preserve">En esta circunstancia, si bien el aporte profesional o técnico de los beneficiados puede ser </w:t>
      </w:r>
      <w:r w:rsidR="00A60AAB">
        <w:t>muy</w:t>
      </w:r>
      <w:r>
        <w:t xml:space="preserve"> relevante, no parece que la ley y su aplicación tengan que ver en que ello sea así. Otra cosa ocurriría si la ley resultara en un atractivo para nuevas contrataciones o mejora de los perfiles profesionales o técnicos preexistentes. Pero no es así, por lo que no se puede esperar, al menos en estos primeros años de vigencia, mejoras en la gestión institucional.</w:t>
      </w:r>
    </w:p>
    <w:p w:rsidR="00A60AAB" w:rsidRDefault="00A60AAB" w:rsidP="0002588C">
      <w:pPr>
        <w:spacing w:after="0" w:line="240" w:lineRule="auto"/>
        <w:jc w:val="both"/>
      </w:pPr>
    </w:p>
    <w:p w:rsidR="00A60AAB" w:rsidRDefault="00A60AAB" w:rsidP="0056627B">
      <w:pPr>
        <w:spacing w:after="0" w:line="240" w:lineRule="auto"/>
        <w:jc w:val="both"/>
      </w:pPr>
      <w:r>
        <w:t>En esta línea, un rol activo –actualmente inexistente– de los municipios en la focalización del beneficio, tanto en cuanto a número de beneficiarios contratados como a áreas disciplinarias requeridas, sería un importante aporte al cumplimiento de los objetivos de atracción de nuevas contrataciones y de pertinencia de éstas en relación con el desarrollo de cada territorio local.</w:t>
      </w:r>
    </w:p>
    <w:p w:rsidR="0056627B" w:rsidRDefault="0056627B" w:rsidP="0056627B">
      <w:pPr>
        <w:spacing w:after="0" w:line="240" w:lineRule="auto"/>
      </w:pPr>
    </w:p>
    <w:p w:rsidR="00534B28" w:rsidRDefault="00534B28" w:rsidP="0056627B">
      <w:pPr>
        <w:spacing w:after="0" w:line="240" w:lineRule="auto"/>
        <w:rPr>
          <w:rFonts w:ascii="Calibri" w:eastAsiaTheme="majorEastAsia" w:hAnsi="Calibri" w:cstheme="majorBidi"/>
          <w:b/>
          <w:bCs/>
          <w:sz w:val="28"/>
          <w:szCs w:val="28"/>
        </w:rPr>
      </w:pPr>
      <w:r>
        <w:br w:type="page"/>
      </w:r>
    </w:p>
    <w:p w:rsidR="00E93387" w:rsidRPr="009B6D95" w:rsidRDefault="00E93387" w:rsidP="009B6D95">
      <w:pPr>
        <w:pStyle w:val="Ttulo1"/>
        <w:numPr>
          <w:ilvl w:val="0"/>
          <w:numId w:val="5"/>
        </w:numPr>
      </w:pPr>
      <w:bookmarkStart w:id="37" w:name="_Toc341866738"/>
      <w:r w:rsidRPr="009B6D95">
        <w:lastRenderedPageBreak/>
        <w:t>MONTOS DEL BENEFICIO, DESTINO Y RECURSOS FISCALES UTILIZADOS</w:t>
      </w:r>
      <w:bookmarkEnd w:id="37"/>
    </w:p>
    <w:p w:rsidR="00E53461" w:rsidRPr="00E93387" w:rsidRDefault="00E53461" w:rsidP="00E53461">
      <w:pPr>
        <w:pStyle w:val="Prrafodelista"/>
        <w:spacing w:after="0" w:line="240" w:lineRule="auto"/>
        <w:ind w:left="357"/>
        <w:contextualSpacing w:val="0"/>
        <w:jc w:val="both"/>
        <w:rPr>
          <w:b/>
        </w:rPr>
      </w:pPr>
    </w:p>
    <w:p w:rsidR="00E93387" w:rsidRPr="009B6D95" w:rsidRDefault="00E93387" w:rsidP="009B6D95">
      <w:pPr>
        <w:pStyle w:val="Ttulo2"/>
      </w:pPr>
      <w:bookmarkStart w:id="38" w:name="_Toc341866739"/>
      <w:r w:rsidRPr="009B6D95">
        <w:t>Pres</w:t>
      </w:r>
      <w:r w:rsidR="0002588C" w:rsidRPr="009B6D95">
        <w:t>upuesto disponible, beneficios asignados</w:t>
      </w:r>
      <w:r w:rsidRPr="009B6D95">
        <w:t xml:space="preserve"> y presupuesto ejecutado</w:t>
      </w:r>
      <w:bookmarkEnd w:id="38"/>
    </w:p>
    <w:p w:rsidR="00E53461" w:rsidRPr="00E53461" w:rsidRDefault="00E53461" w:rsidP="00E53461">
      <w:pPr>
        <w:spacing w:after="0" w:line="240" w:lineRule="auto"/>
        <w:jc w:val="both"/>
        <w:rPr>
          <w:rFonts w:cstheme="minorHAnsi"/>
          <w:b/>
        </w:rPr>
      </w:pPr>
    </w:p>
    <w:p w:rsidR="00E93387" w:rsidRDefault="00BB5FE4" w:rsidP="00682A1A">
      <w:pPr>
        <w:spacing w:after="0" w:line="240" w:lineRule="auto"/>
        <w:jc w:val="both"/>
        <w:rPr>
          <w:rFonts w:cstheme="minorHAnsi"/>
        </w:rPr>
      </w:pPr>
      <w:r>
        <w:rPr>
          <w:rFonts w:cstheme="minorHAnsi"/>
        </w:rPr>
        <w:t>La Ley de Presupuestos del S</w:t>
      </w:r>
      <w:r w:rsidR="00E93387">
        <w:rPr>
          <w:rFonts w:cstheme="minorHAnsi"/>
        </w:rPr>
        <w:t>ector Público</w:t>
      </w:r>
      <w:r>
        <w:rPr>
          <w:rFonts w:cstheme="minorHAnsi"/>
        </w:rPr>
        <w:t xml:space="preserve"> fija anualmente el número nacional de cupos para el otorgamiento del beneficio </w:t>
      </w:r>
      <w:r w:rsidR="00E93387">
        <w:rPr>
          <w:rFonts w:cstheme="minorHAnsi"/>
        </w:rPr>
        <w:t>de la Ley Nº 20.330</w:t>
      </w:r>
      <w:r>
        <w:rPr>
          <w:rFonts w:cstheme="minorHAnsi"/>
        </w:rPr>
        <w:t xml:space="preserve"> –</w:t>
      </w:r>
      <w:r w:rsidR="00E93387">
        <w:rPr>
          <w:rFonts w:cstheme="minorHAnsi"/>
        </w:rPr>
        <w:t xml:space="preserve">SUBDERE, </w:t>
      </w:r>
      <w:r>
        <w:rPr>
          <w:rFonts w:cstheme="minorHAnsi"/>
        </w:rPr>
        <w:t xml:space="preserve">en decreto anual, </w:t>
      </w:r>
      <w:r w:rsidR="00E93387">
        <w:rPr>
          <w:rFonts w:cstheme="minorHAnsi"/>
        </w:rPr>
        <w:t>establece comunas de menor desarrollo y números regionales de cupos–.</w:t>
      </w:r>
    </w:p>
    <w:p w:rsidR="00E53461" w:rsidRDefault="00E53461" w:rsidP="00682A1A">
      <w:pPr>
        <w:spacing w:after="0" w:line="240" w:lineRule="auto"/>
        <w:jc w:val="both"/>
        <w:rPr>
          <w:rFonts w:cstheme="minorHAnsi"/>
        </w:rPr>
      </w:pPr>
    </w:p>
    <w:p w:rsidR="00E93387" w:rsidRDefault="00EB386B" w:rsidP="00682A1A">
      <w:pPr>
        <w:spacing w:after="0" w:line="240" w:lineRule="auto"/>
        <w:jc w:val="both"/>
        <w:rPr>
          <w:rFonts w:cstheme="minorHAnsi"/>
        </w:rPr>
      </w:pPr>
      <w:r>
        <w:rPr>
          <w:rFonts w:cstheme="minorHAnsi"/>
        </w:rPr>
        <w:t>Como muestra el C</w:t>
      </w:r>
      <w:r w:rsidR="00E93387">
        <w:rPr>
          <w:rFonts w:cstheme="minorHAnsi"/>
        </w:rPr>
        <w:t xml:space="preserve">uadro </w:t>
      </w:r>
      <w:r>
        <w:rPr>
          <w:rFonts w:cstheme="minorHAnsi"/>
        </w:rPr>
        <w:t xml:space="preserve">Nº 7, </w:t>
      </w:r>
      <w:r w:rsidR="00E93387">
        <w:rPr>
          <w:rFonts w:cstheme="minorHAnsi"/>
        </w:rPr>
        <w:t>siguiente, para los años 2010 y 2011 –únicos dos años con proceso cerrado de postulación y financiamiento–, el número de beneficios asignados estuvo muy por debajo del presupuesto disponible para el programa, cubriéndose tan sólo alrededor de un 25% en 2010 y algo más del 70% en 2011.</w:t>
      </w:r>
    </w:p>
    <w:p w:rsidR="00A740EE" w:rsidRDefault="00A740EE" w:rsidP="00682A1A">
      <w:pPr>
        <w:spacing w:after="0" w:line="240" w:lineRule="auto"/>
        <w:jc w:val="both"/>
        <w:rPr>
          <w:rFonts w:cstheme="minorHAnsi"/>
        </w:rPr>
      </w:pPr>
    </w:p>
    <w:p w:rsidR="00EB386B" w:rsidRDefault="00EB386B" w:rsidP="00682A1A">
      <w:pPr>
        <w:spacing w:after="0" w:line="240" w:lineRule="auto"/>
        <w:jc w:val="center"/>
        <w:rPr>
          <w:rFonts w:cstheme="minorHAnsi"/>
          <w:b/>
        </w:rPr>
      </w:pPr>
      <w:r>
        <w:rPr>
          <w:rFonts w:cstheme="minorHAnsi"/>
          <w:b/>
        </w:rPr>
        <w:t>CUADRO Nº 7:</w:t>
      </w:r>
    </w:p>
    <w:p w:rsidR="00E93387" w:rsidRPr="005F1362" w:rsidRDefault="00EB386B" w:rsidP="00682A1A">
      <w:pPr>
        <w:spacing w:after="0" w:line="240" w:lineRule="auto"/>
        <w:jc w:val="center"/>
        <w:rPr>
          <w:rFonts w:cstheme="minorHAnsi"/>
          <w:b/>
        </w:rPr>
      </w:pPr>
      <w:r w:rsidRPr="00EB386B">
        <w:rPr>
          <w:rFonts w:cstheme="minorHAnsi"/>
          <w:b/>
        </w:rPr>
        <w:t>PRESUPUESTO Y EJECUCIÓN DEL BENEFICIO DE LA LEY N° 20.330 SEGÚN AÑO DE PROCESO (EN $M DE CADA AÑO)</w:t>
      </w:r>
    </w:p>
    <w:tbl>
      <w:tblPr>
        <w:tblStyle w:val="Sombreadomedio1-nfasis11"/>
        <w:tblW w:w="0" w:type="auto"/>
        <w:jc w:val="center"/>
        <w:tblLook w:val="01A0" w:firstRow="1" w:lastRow="0" w:firstColumn="1" w:lastColumn="1" w:noHBand="0" w:noVBand="0"/>
      </w:tblPr>
      <w:tblGrid>
        <w:gridCol w:w="1534"/>
        <w:gridCol w:w="1890"/>
        <w:gridCol w:w="2067"/>
        <w:gridCol w:w="1935"/>
      </w:tblGrid>
      <w:tr w:rsidR="00E93387" w:rsidRPr="00C7391E" w:rsidTr="00BD6C11">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534"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Año de Proceso</w:t>
            </w:r>
          </w:p>
        </w:tc>
        <w:tc>
          <w:tcPr>
            <w:cnfStyle w:val="000010000000" w:firstRow="0" w:lastRow="0" w:firstColumn="0" w:lastColumn="0" w:oddVBand="1" w:evenVBand="0" w:oddHBand="0" w:evenHBand="0" w:firstRowFirstColumn="0" w:firstRowLastColumn="0" w:lastRowFirstColumn="0" w:lastRowLastColumn="0"/>
            <w:tcW w:w="1890"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Presupuesto Inicial</w:t>
            </w:r>
          </w:p>
        </w:tc>
        <w:tc>
          <w:tcPr>
            <w:tcW w:w="2067"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Monto Beneficios</w:t>
            </w:r>
            <w:r w:rsidRPr="00C7391E">
              <w:rPr>
                <w:rFonts w:ascii="Arial" w:hAnsi="Arial" w:cs="Arial"/>
                <w:sz w:val="20"/>
                <w:szCs w:val="20"/>
              </w:rPr>
              <w:t xml:space="preserve"> </w:t>
            </w:r>
            <w:r>
              <w:rPr>
                <w:rFonts w:ascii="Arial" w:hAnsi="Arial" w:cs="Arial"/>
                <w:sz w:val="20"/>
                <w:szCs w:val="20"/>
              </w:rPr>
              <w:t>Asignados</w:t>
            </w:r>
          </w:p>
        </w:tc>
        <w:tc>
          <w:tcPr>
            <w:cnfStyle w:val="000100000000" w:firstRow="0" w:lastRow="0" w:firstColumn="0" w:lastColumn="1" w:oddVBand="0" w:evenVBand="0" w:oddHBand="0" w:evenHBand="0" w:firstRowFirstColumn="0" w:firstRowLastColumn="0" w:lastRowFirstColumn="0" w:lastRowLastColumn="0"/>
            <w:tcW w:w="1935"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Ejecución Acumulada a diciembre</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534"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Pr>
                <w:rFonts w:ascii="Arial" w:hAnsi="Arial" w:cs="Arial"/>
                <w:sz w:val="20"/>
                <w:szCs w:val="20"/>
              </w:rPr>
              <w:t xml:space="preserve">Año </w:t>
            </w:r>
            <w:r w:rsidRPr="00C7391E">
              <w:rPr>
                <w:rFonts w:ascii="Arial" w:hAnsi="Arial" w:cs="Arial"/>
                <w:sz w:val="20"/>
                <w:szCs w:val="20"/>
              </w:rPr>
              <w:t>2010</w:t>
            </w:r>
          </w:p>
        </w:tc>
        <w:tc>
          <w:tcPr>
            <w:cnfStyle w:val="000010000000" w:firstRow="0" w:lastRow="0" w:firstColumn="0" w:lastColumn="0" w:oddVBand="1" w:evenVBand="0" w:oddHBand="0" w:evenHBand="0" w:firstRowFirstColumn="0" w:firstRowLastColumn="0" w:lastRowFirstColumn="0" w:lastRowLastColumn="0"/>
            <w:tcW w:w="1890"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111.650</w:t>
            </w:r>
          </w:p>
        </w:tc>
        <w:tc>
          <w:tcPr>
            <w:tcW w:w="206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26.650</w:t>
            </w:r>
          </w:p>
        </w:tc>
        <w:tc>
          <w:tcPr>
            <w:cnfStyle w:val="000100000000" w:firstRow="0" w:lastRow="0" w:firstColumn="0" w:lastColumn="1" w:oddVBand="0" w:evenVBand="0" w:oddHBand="0" w:evenHBand="0" w:firstRowFirstColumn="0" w:firstRowLastColumn="0" w:lastRowFirstColumn="0" w:lastRowLastColumn="0"/>
            <w:tcW w:w="1935"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25.136</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534"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Pr>
                <w:rFonts w:ascii="Arial" w:hAnsi="Arial" w:cs="Arial"/>
                <w:sz w:val="20"/>
                <w:szCs w:val="20"/>
              </w:rPr>
              <w:t xml:space="preserve">Año </w:t>
            </w:r>
            <w:r w:rsidRPr="00C7391E">
              <w:rPr>
                <w:rFonts w:ascii="Arial" w:hAnsi="Arial" w:cs="Arial"/>
                <w:sz w:val="20"/>
                <w:szCs w:val="20"/>
              </w:rPr>
              <w:t>2011</w:t>
            </w:r>
          </w:p>
        </w:tc>
        <w:tc>
          <w:tcPr>
            <w:cnfStyle w:val="000010000000" w:firstRow="0" w:lastRow="0" w:firstColumn="0" w:lastColumn="0" w:oddVBand="1" w:evenVBand="0" w:oddHBand="0" w:evenHBand="0" w:firstRowFirstColumn="0" w:firstRowLastColumn="0" w:lastRowFirstColumn="0" w:lastRowLastColumn="0"/>
            <w:tcW w:w="1890"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124.733</w:t>
            </w:r>
          </w:p>
        </w:tc>
        <w:tc>
          <w:tcPr>
            <w:tcW w:w="206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89.733</w:t>
            </w:r>
          </w:p>
        </w:tc>
        <w:tc>
          <w:tcPr>
            <w:cnfStyle w:val="000100000000" w:firstRow="0" w:lastRow="0" w:firstColumn="0" w:lastColumn="1" w:oddVBand="0" w:evenVBand="0" w:oddHBand="0" w:evenHBand="0" w:firstRowFirstColumn="0" w:firstRowLastColumn="0" w:lastRowFirstColumn="0" w:lastRowLastColumn="0"/>
            <w:tcW w:w="1935"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88.805</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534"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Pr>
                <w:rFonts w:ascii="Arial" w:hAnsi="Arial" w:cs="Arial"/>
                <w:sz w:val="20"/>
                <w:szCs w:val="20"/>
              </w:rPr>
              <w:t xml:space="preserve">Año </w:t>
            </w:r>
            <w:r w:rsidRPr="00C7391E">
              <w:rPr>
                <w:rFonts w:ascii="Arial" w:hAnsi="Arial" w:cs="Arial"/>
                <w:sz w:val="20"/>
                <w:szCs w:val="20"/>
              </w:rPr>
              <w:t xml:space="preserve">2012 </w:t>
            </w:r>
          </w:p>
        </w:tc>
        <w:tc>
          <w:tcPr>
            <w:cnfStyle w:val="000010000000" w:firstRow="0" w:lastRow="0" w:firstColumn="0" w:lastColumn="0" w:oddVBand="1" w:evenVBand="0" w:oddHBand="0" w:evenHBand="0" w:firstRowFirstColumn="0" w:firstRowLastColumn="0" w:lastRowFirstColumn="0" w:lastRowLastColumn="0"/>
            <w:tcW w:w="1890"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188.914</w:t>
            </w:r>
          </w:p>
        </w:tc>
        <w:tc>
          <w:tcPr>
            <w:tcW w:w="2067"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188.914</w:t>
            </w:r>
          </w:p>
        </w:tc>
        <w:tc>
          <w:tcPr>
            <w:cnfStyle w:val="000100000000" w:firstRow="0" w:lastRow="0" w:firstColumn="0" w:lastColumn="1" w:oddVBand="0" w:evenVBand="0" w:oddHBand="0" w:evenHBand="0" w:firstRowFirstColumn="0" w:firstRowLastColumn="0" w:lastRowFirstColumn="0" w:lastRowLastColumn="0"/>
            <w:tcW w:w="1935"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Pr>
                <w:rFonts w:ascii="Arial" w:hAnsi="Arial" w:cs="Arial"/>
                <w:sz w:val="20"/>
                <w:szCs w:val="20"/>
              </w:rPr>
              <w:t>-</w:t>
            </w:r>
          </w:p>
        </w:tc>
      </w:tr>
    </w:tbl>
    <w:p w:rsidR="00E93387" w:rsidRPr="00EB386B" w:rsidRDefault="00EB386B" w:rsidP="00EB386B">
      <w:pPr>
        <w:spacing w:after="0" w:line="240" w:lineRule="auto"/>
        <w:jc w:val="center"/>
        <w:rPr>
          <w:rFonts w:cstheme="minorHAnsi"/>
          <w:sz w:val="18"/>
          <w:szCs w:val="18"/>
        </w:rPr>
      </w:pPr>
      <w:r>
        <w:rPr>
          <w:rFonts w:cstheme="minorHAnsi"/>
          <w:sz w:val="18"/>
          <w:szCs w:val="18"/>
        </w:rPr>
        <w:t xml:space="preserve">Fuente: </w:t>
      </w:r>
      <w:r w:rsidR="00DA4570">
        <w:rPr>
          <w:rFonts w:cstheme="minorHAnsi"/>
          <w:sz w:val="18"/>
          <w:szCs w:val="18"/>
        </w:rPr>
        <w:t>SUBDERE en base a datos DIPRES.</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 xml:space="preserve">Aunque para 2012 la tendencia debería reflejarse en un alza porcentual y quizás el uso del total de los recursos disponibles, </w:t>
      </w:r>
      <w:r w:rsidR="00BB5FE4">
        <w:rPr>
          <w:rFonts w:cstheme="minorHAnsi"/>
        </w:rPr>
        <w:t>lo cierto es que no hay una correlación evidente ni comprensible entre el aumento la demanda y el aumento del presupuesto (y los correspondientes cupos).</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Es posible que llegue un momento en que todos los profesionales o técnicos ya en ejercicio en cargos compatibles con el beneficio, accedan a él efectivamente. A partir de allí, sólo podrán acceder profesionales o técnicos recientemente contratados. Y lo más probable es que, de allí en adelante y salvo que se produzcan importantes cambios reglamentarios y presupuestarios para las municipalidades y sus corporaciones, el número de contrataciones no crezca en la proporción en que ha crecido la cobertura potencial de la</w:t>
      </w:r>
      <w:r w:rsidR="002B448D">
        <w:rPr>
          <w:rFonts w:cstheme="minorHAnsi"/>
        </w:rPr>
        <w:t xml:space="preserve"> Ley (hasta 292</w:t>
      </w:r>
      <w:r>
        <w:rPr>
          <w:rFonts w:cstheme="minorHAnsi"/>
        </w:rPr>
        <w:t xml:space="preserve"> cupos en 2012), dada la falta estructural de recursos financieros en la mayor parte de los municipios del país. De manera que, aunque la cobertura potencial deje de crecer, es posible que esas nuevas contrataciones ni siquiera alcancen a cubrir el número de cupos que se ofrecen ya en 2012. Esto es, que el número de cupos anuales no puede ser determinado arbitrariamente</w:t>
      </w:r>
      <w:r w:rsidR="00A60AAB">
        <w:rPr>
          <w:rFonts w:cstheme="minorHAnsi"/>
        </w:rPr>
        <w:t>,</w:t>
      </w:r>
      <w:r>
        <w:rPr>
          <w:rFonts w:cstheme="minorHAnsi"/>
        </w:rPr>
        <w:t xml:space="preserve"> y es posible, incluso, que el uso de los indicadores “duros” que maneja SUBDERE tampoco sea un criterio adecuado para definir cuáles son </w:t>
      </w:r>
      <w:r w:rsidR="00AB198F">
        <w:rPr>
          <w:rFonts w:cstheme="minorHAnsi"/>
        </w:rPr>
        <w:t>las comunas de menor desarrollo (hemos visto que,</w:t>
      </w:r>
      <w:r>
        <w:rPr>
          <w:rFonts w:cstheme="minorHAnsi"/>
        </w:rPr>
        <w:t xml:space="preserve"> según estos indicadores, hubo unos pocos casos de comunas que entraron al listado en 2010 y salieron en 2011 para volver a entrar en 2012, lo que atenta contra la posibilidad de que los postulantes accedan al monto suplementario por 3 años de desempeño consecutivo</w:t>
      </w:r>
      <w:r w:rsidR="00AB198F">
        <w:rPr>
          <w:rFonts w:cstheme="minorHAnsi"/>
        </w:rPr>
        <w:t>)</w:t>
      </w:r>
      <w:r>
        <w:rPr>
          <w:rFonts w:cstheme="minorHAnsi"/>
        </w:rPr>
        <w:t>.</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Hay allí un punto importante a analizar: que la Ley esté incorrectamente focalizada, hoy y eventualmente en los años venideros; o bien que el número de cupos disponibles no esté en relación con la demanda efectiva por el beneficio.</w:t>
      </w:r>
    </w:p>
    <w:p w:rsidR="00A60AAB" w:rsidRDefault="00A60AAB" w:rsidP="00A60AAB">
      <w:pPr>
        <w:pStyle w:val="Ttulo2"/>
        <w:numPr>
          <w:ilvl w:val="0"/>
          <w:numId w:val="0"/>
        </w:numPr>
        <w:ind w:left="360" w:hanging="360"/>
      </w:pPr>
    </w:p>
    <w:p w:rsidR="00E93387" w:rsidRPr="009B6D95" w:rsidRDefault="00E93387" w:rsidP="009B6D95">
      <w:pPr>
        <w:pStyle w:val="Ttulo2"/>
      </w:pPr>
      <w:bookmarkStart w:id="39" w:name="_Toc341866740"/>
      <w:r w:rsidRPr="009B6D95">
        <w:lastRenderedPageBreak/>
        <w:t>Rangos de financiamiento entregado por beneficiario</w:t>
      </w:r>
      <w:bookmarkEnd w:id="39"/>
    </w:p>
    <w:p w:rsidR="00EB386B" w:rsidRDefault="00EB386B" w:rsidP="00682A1A">
      <w:pPr>
        <w:spacing w:after="0" w:line="240" w:lineRule="auto"/>
        <w:jc w:val="both"/>
        <w:rPr>
          <w:rFonts w:cstheme="minorHAnsi"/>
        </w:rPr>
      </w:pPr>
    </w:p>
    <w:p w:rsidR="00E93387" w:rsidRDefault="00EB386B" w:rsidP="00682A1A">
      <w:pPr>
        <w:spacing w:after="0" w:line="240" w:lineRule="auto"/>
        <w:jc w:val="both"/>
        <w:rPr>
          <w:rFonts w:cstheme="minorHAnsi"/>
        </w:rPr>
      </w:pPr>
      <w:r>
        <w:rPr>
          <w:rFonts w:cstheme="minorHAnsi"/>
        </w:rPr>
        <w:t>El C</w:t>
      </w:r>
      <w:r w:rsidR="00E93387">
        <w:rPr>
          <w:rFonts w:cstheme="minorHAnsi"/>
        </w:rPr>
        <w:t xml:space="preserve">uadro </w:t>
      </w:r>
      <w:r>
        <w:rPr>
          <w:rFonts w:cstheme="minorHAnsi"/>
        </w:rPr>
        <w:t>Nº8</w:t>
      </w:r>
      <w:r w:rsidR="00E93387">
        <w:rPr>
          <w:rFonts w:cstheme="minorHAnsi"/>
        </w:rPr>
        <w:t xml:space="preserve"> muestra los montos de dinero entregados por beneficiario y el número de beneficios entregados por monto (expresado en rango). La distribución anual por </w:t>
      </w:r>
      <w:r w:rsidR="00BB5FE4">
        <w:rPr>
          <w:rFonts w:cstheme="minorHAnsi"/>
        </w:rPr>
        <w:t>montos se aprecia en el Gráfico Nº 16.</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Se ve, por una parte, que en 2010 se entregaron 61 beneficios, cifra que creció en más de tres veces a 2011, con 198 beneficios entregados (nótese aquí que el número de beneficios entregados en 2011 no se corresponde necesariamente con el número de beneficiarios por desempeño laboral 2010, dado que en algunos casos y por razones administrativas la Tesorería pagó el beneficio con un año de retraso).</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Por otro lado, el monto del beneficio va de las 3 a las 16 UTM. Los beneficiarios que, por año, acceden al máximo posible (16 UTM) llegan a 8 en 2010 y a 48 en 2011, esto es, un 13 % y un 24 % de los respectivos totales anuales de beneficios entregados.</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Marcadamente en 2011, las mayores cantidades de beneficios entregados se encuentran en los rangos centrales de montos, entre 7 y 13 UTM con 100 casos sobre 198, y en el máximo de 16 UTM con 48 casos sobre 198.</w:t>
      </w:r>
    </w:p>
    <w:p w:rsidR="00A740EE" w:rsidRDefault="00A740EE" w:rsidP="00682A1A">
      <w:pPr>
        <w:spacing w:after="0" w:line="240" w:lineRule="auto"/>
        <w:jc w:val="both"/>
        <w:rPr>
          <w:rFonts w:cstheme="minorHAnsi"/>
        </w:rPr>
      </w:pPr>
    </w:p>
    <w:p w:rsidR="00EB386B" w:rsidRDefault="00EB386B" w:rsidP="00682A1A">
      <w:pPr>
        <w:spacing w:after="0" w:line="240" w:lineRule="auto"/>
        <w:jc w:val="center"/>
        <w:rPr>
          <w:rFonts w:cstheme="minorHAnsi"/>
          <w:b/>
        </w:rPr>
      </w:pPr>
      <w:r>
        <w:rPr>
          <w:rFonts w:cstheme="minorHAnsi"/>
          <w:b/>
        </w:rPr>
        <w:t>CUADRO Nº 8:</w:t>
      </w:r>
    </w:p>
    <w:p w:rsidR="00E93387" w:rsidRPr="005F1362" w:rsidRDefault="00EB386B" w:rsidP="00682A1A">
      <w:pPr>
        <w:spacing w:after="0" w:line="240" w:lineRule="auto"/>
        <w:jc w:val="center"/>
        <w:rPr>
          <w:rFonts w:cstheme="minorHAnsi"/>
          <w:b/>
        </w:rPr>
      </w:pPr>
      <w:r>
        <w:rPr>
          <w:rFonts w:cstheme="minorHAnsi"/>
          <w:b/>
        </w:rPr>
        <w:t>NÚMERO DE BENEFICIOS, SEGÚN MONTO DEL BENEFICIO</w:t>
      </w:r>
    </w:p>
    <w:tbl>
      <w:tblPr>
        <w:tblStyle w:val="Sombreadomedio1-nfasis11"/>
        <w:tblW w:w="0" w:type="auto"/>
        <w:jc w:val="center"/>
        <w:tblInd w:w="238" w:type="dxa"/>
        <w:tblLook w:val="00E0" w:firstRow="1" w:lastRow="1" w:firstColumn="1" w:lastColumn="0" w:noHBand="0" w:noVBand="0"/>
      </w:tblPr>
      <w:tblGrid>
        <w:gridCol w:w="2392"/>
        <w:gridCol w:w="1128"/>
        <w:gridCol w:w="1128"/>
        <w:gridCol w:w="1477"/>
      </w:tblGrid>
      <w:tr w:rsidR="00E93387" w:rsidRPr="00C7391E" w:rsidTr="00BD6C11">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vMerge w:val="restart"/>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Monto del Beneficio en UTM</w:t>
            </w:r>
          </w:p>
        </w:tc>
        <w:tc>
          <w:tcPr>
            <w:cnfStyle w:val="000010000000" w:firstRow="0" w:lastRow="0" w:firstColumn="0" w:lastColumn="0" w:oddVBand="1" w:evenVBand="0" w:oddHBand="0" w:evenHBand="0" w:firstRowFirstColumn="0" w:firstRowLastColumn="0" w:lastRowFirstColumn="0" w:lastRowLastColumn="0"/>
            <w:tcW w:w="3733" w:type="dxa"/>
            <w:gridSpan w:val="3"/>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 xml:space="preserve">Número de Beneficios </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vMerge/>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p>
        </w:tc>
        <w:tc>
          <w:tcPr>
            <w:cnfStyle w:val="000010000000" w:firstRow="0" w:lastRow="0" w:firstColumn="0" w:lastColumn="0" w:oddVBand="1" w:evenVBand="0" w:oddHBand="0" w:evenHBand="0" w:firstRowFirstColumn="0" w:firstRowLastColumn="0" w:lastRowFirstColumn="0" w:lastRowLastColumn="0"/>
            <w:tcW w:w="1128"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b/>
                <w:bCs/>
                <w:sz w:val="20"/>
                <w:szCs w:val="20"/>
              </w:rPr>
            </w:pPr>
            <w:r w:rsidRPr="00C7391E">
              <w:rPr>
                <w:rFonts w:ascii="Arial" w:hAnsi="Arial" w:cs="Arial"/>
                <w:b/>
                <w:bCs/>
                <w:sz w:val="20"/>
                <w:szCs w:val="20"/>
              </w:rPr>
              <w:t>2010</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C7391E">
              <w:rPr>
                <w:rFonts w:ascii="Arial" w:hAnsi="Arial" w:cs="Arial"/>
                <w:b/>
                <w:bCs/>
                <w:sz w:val="20"/>
                <w:szCs w:val="20"/>
              </w:rPr>
              <w:t>2011</w:t>
            </w:r>
          </w:p>
        </w:tc>
        <w:tc>
          <w:tcPr>
            <w:cnfStyle w:val="000010000000" w:firstRow="0" w:lastRow="0" w:firstColumn="0" w:lastColumn="0" w:oddVBand="1" w:evenVBand="0" w:oddHBand="0" w:evenHBand="0" w:firstRowFirstColumn="0" w:firstRowLastColumn="0" w:lastRowFirstColumn="0" w:lastRowLastColumn="0"/>
            <w:tcW w:w="1477"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b/>
                <w:bCs/>
                <w:sz w:val="20"/>
                <w:szCs w:val="20"/>
              </w:rPr>
            </w:pPr>
            <w:r w:rsidRPr="00C7391E">
              <w:rPr>
                <w:rFonts w:ascii="Arial" w:hAnsi="Arial" w:cs="Arial"/>
                <w:b/>
                <w:bCs/>
                <w:sz w:val="20"/>
                <w:szCs w:val="20"/>
              </w:rPr>
              <w:t>Total general</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3 y 3,9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3</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4</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4 y 4,9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4</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5</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9</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5 y 5,9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3</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7</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10</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6 y 6,9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7</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9</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7 y 7,9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3</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11</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14</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8 y 8,9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5</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15</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20</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9 y 9,9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5</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25</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30</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10 y 10,9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9</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22</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31</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11 y 11,9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3</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13</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16</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12 y 12,9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6</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14</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20</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13 y 13,9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4</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12</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16</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14 y 14,9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4</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8</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12</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Entre 15 y 15,9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4</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8</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12</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16 UTM</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8</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48</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56</w:t>
            </w:r>
          </w:p>
        </w:tc>
      </w:tr>
      <w:tr w:rsidR="00E93387" w:rsidRPr="00C7391E" w:rsidTr="00BD6C11">
        <w:trPr>
          <w:cnfStyle w:val="010000000000" w:firstRow="0" w:lastRow="1"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392"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Total general</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61</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C7391E">
              <w:rPr>
                <w:rFonts w:ascii="Arial" w:hAnsi="Arial" w:cs="Arial"/>
                <w:sz w:val="20"/>
                <w:szCs w:val="20"/>
              </w:rPr>
              <w:t>198</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259</w:t>
            </w:r>
          </w:p>
        </w:tc>
      </w:tr>
    </w:tbl>
    <w:p w:rsidR="00EB386B" w:rsidRPr="00EB386B" w:rsidRDefault="00EB386B" w:rsidP="00EB386B">
      <w:pPr>
        <w:spacing w:after="0" w:line="240" w:lineRule="auto"/>
        <w:jc w:val="center"/>
        <w:rPr>
          <w:rFonts w:cstheme="minorHAnsi"/>
          <w:sz w:val="18"/>
          <w:szCs w:val="18"/>
        </w:rPr>
      </w:pPr>
      <w:r>
        <w:rPr>
          <w:rFonts w:cstheme="minorHAnsi"/>
          <w:sz w:val="18"/>
          <w:szCs w:val="18"/>
        </w:rPr>
        <w:t>Fuente: DIPRES</w:t>
      </w:r>
      <w:r w:rsidR="00DA4570">
        <w:rPr>
          <w:rFonts w:cstheme="minorHAnsi"/>
          <w:sz w:val="18"/>
          <w:szCs w:val="18"/>
        </w:rPr>
        <w:t xml:space="preserve"> en base a datos Tesorería.</w:t>
      </w:r>
    </w:p>
    <w:p w:rsidR="00E93387" w:rsidRDefault="00E93387" w:rsidP="00682A1A">
      <w:pPr>
        <w:spacing w:after="0" w:line="240" w:lineRule="auto"/>
        <w:jc w:val="both"/>
        <w:rPr>
          <w:rFonts w:cstheme="minorHAnsi"/>
        </w:rPr>
      </w:pPr>
    </w:p>
    <w:p w:rsidR="0014216A" w:rsidRDefault="0014216A">
      <w:pPr>
        <w:rPr>
          <w:rFonts w:cstheme="minorHAnsi"/>
          <w:b/>
        </w:rPr>
      </w:pPr>
      <w:r>
        <w:rPr>
          <w:rFonts w:cstheme="minorHAnsi"/>
          <w:b/>
        </w:rPr>
        <w:br w:type="page"/>
      </w:r>
    </w:p>
    <w:p w:rsidR="00EB386B" w:rsidRDefault="00EB386B" w:rsidP="00EB386B">
      <w:pPr>
        <w:spacing w:after="0" w:line="240" w:lineRule="auto"/>
        <w:jc w:val="center"/>
        <w:rPr>
          <w:rFonts w:cstheme="minorHAnsi"/>
          <w:b/>
        </w:rPr>
      </w:pPr>
      <w:r>
        <w:rPr>
          <w:rFonts w:cstheme="minorHAnsi"/>
          <w:b/>
        </w:rPr>
        <w:lastRenderedPageBreak/>
        <w:t xml:space="preserve">GRÁFICO Nº </w:t>
      </w:r>
      <w:r w:rsidR="00DA4570">
        <w:rPr>
          <w:rFonts w:cstheme="minorHAnsi"/>
          <w:b/>
        </w:rPr>
        <w:t>16</w:t>
      </w:r>
      <w:r>
        <w:rPr>
          <w:rFonts w:cstheme="minorHAnsi"/>
          <w:b/>
        </w:rPr>
        <w:t>:</w:t>
      </w:r>
    </w:p>
    <w:p w:rsidR="00EB386B" w:rsidRPr="005F1362" w:rsidRDefault="00EB386B" w:rsidP="00EB386B">
      <w:pPr>
        <w:spacing w:after="0" w:line="240" w:lineRule="auto"/>
        <w:jc w:val="center"/>
        <w:rPr>
          <w:rFonts w:cstheme="minorHAnsi"/>
          <w:b/>
        </w:rPr>
      </w:pPr>
      <w:r>
        <w:rPr>
          <w:rFonts w:cstheme="minorHAnsi"/>
          <w:b/>
        </w:rPr>
        <w:t>NÚMERO DE BENEFICIOS, SEGÚN MONTO DEL BENEFICIO</w:t>
      </w:r>
    </w:p>
    <w:p w:rsidR="00EB386B" w:rsidRPr="00EB386B" w:rsidRDefault="00AB198F" w:rsidP="00EB386B">
      <w:pPr>
        <w:spacing w:after="0" w:line="240" w:lineRule="auto"/>
        <w:jc w:val="center"/>
        <w:rPr>
          <w:rFonts w:cstheme="minorHAnsi"/>
          <w:sz w:val="18"/>
          <w:szCs w:val="18"/>
        </w:rPr>
      </w:pPr>
      <w:r>
        <w:rPr>
          <w:rFonts w:cstheme="minorHAnsi"/>
        </w:rPr>
        <w:object w:dxaOrig="12135" w:dyaOrig="61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228.9pt" o:ole="">
            <v:imagedata r:id="rId28" o:title=""/>
          </v:shape>
          <o:OLEObject Type="Embed" ProgID="Excel.Sheet.12" ShapeID="_x0000_i1025" DrawAspect="Content" ObjectID="_1415608589" r:id="rId29"/>
        </w:object>
      </w:r>
      <w:r w:rsidR="00EB386B" w:rsidRPr="00EB386B">
        <w:rPr>
          <w:rFonts w:cstheme="minorHAnsi"/>
          <w:sz w:val="18"/>
          <w:szCs w:val="18"/>
        </w:rPr>
        <w:t xml:space="preserve"> </w:t>
      </w:r>
      <w:r w:rsidR="00EB386B">
        <w:rPr>
          <w:rFonts w:cstheme="minorHAnsi"/>
          <w:sz w:val="18"/>
          <w:szCs w:val="18"/>
        </w:rPr>
        <w:t>Fuente: Elaboración propia en base a datos DIPRES</w:t>
      </w:r>
      <w:r w:rsidR="00DA4570">
        <w:rPr>
          <w:rFonts w:cstheme="minorHAnsi"/>
          <w:sz w:val="18"/>
          <w:szCs w:val="18"/>
        </w:rPr>
        <w:t>.</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Dado que el proceso 2012 aún no se ha cerrado, no se puede establecer todavía cuántos beneficiarios optarán al monto suplementario por desempeño continuado de 3 años (que duplica el monto pagado sumando los tres años continuos, con tope de 48 UTM extra).</w:t>
      </w:r>
    </w:p>
    <w:p w:rsidR="00EB386B" w:rsidRPr="005F1362" w:rsidRDefault="00EB386B" w:rsidP="00682A1A">
      <w:pPr>
        <w:spacing w:after="0" w:line="240" w:lineRule="auto"/>
        <w:jc w:val="both"/>
        <w:rPr>
          <w:rFonts w:cstheme="minorHAnsi"/>
        </w:rPr>
      </w:pPr>
    </w:p>
    <w:p w:rsidR="00E93387" w:rsidRPr="009B6D95" w:rsidRDefault="00E93387" w:rsidP="009B6D95">
      <w:pPr>
        <w:pStyle w:val="Ttulo2"/>
      </w:pPr>
      <w:bookmarkStart w:id="40" w:name="_Toc341866741"/>
      <w:r w:rsidRPr="009B6D95">
        <w:t>Destino del pago</w:t>
      </w:r>
      <w:bookmarkEnd w:id="40"/>
    </w:p>
    <w:p w:rsidR="00EB386B" w:rsidRDefault="00EB386B" w:rsidP="00682A1A">
      <w:pPr>
        <w:spacing w:after="0" w:line="240" w:lineRule="auto"/>
        <w:jc w:val="both"/>
        <w:rPr>
          <w:rFonts w:cstheme="minorHAnsi"/>
        </w:rPr>
      </w:pPr>
    </w:p>
    <w:p w:rsidR="00E93387" w:rsidRDefault="00F47C80" w:rsidP="00682A1A">
      <w:pPr>
        <w:spacing w:after="0" w:line="240" w:lineRule="auto"/>
        <w:jc w:val="both"/>
        <w:rPr>
          <w:rFonts w:cstheme="minorHAnsi"/>
        </w:rPr>
      </w:pPr>
      <w:r>
        <w:rPr>
          <w:rFonts w:cstheme="minorHAnsi"/>
        </w:rPr>
        <w:t>El Decreto Nº 403, reglamento de la Ley Nº 20.330,</w:t>
      </w:r>
      <w:r w:rsidR="00E93387" w:rsidRPr="005F1362">
        <w:rPr>
          <w:rFonts w:cstheme="minorHAnsi"/>
        </w:rPr>
        <w:t xml:space="preserve"> establece que</w:t>
      </w:r>
      <w:r>
        <w:rPr>
          <w:rFonts w:cstheme="minorHAnsi"/>
        </w:rPr>
        <w:t>, para los deudores acogidos a la Ley Nº 19.287 (Crédito Solidario Universitario),</w:t>
      </w:r>
      <w:r w:rsidR="00E93387" w:rsidRPr="005F1362">
        <w:rPr>
          <w:rFonts w:cstheme="minorHAnsi"/>
        </w:rPr>
        <w:t xml:space="preserve"> el beneficio será de un monto equivalente </w:t>
      </w:r>
      <w:r w:rsidR="00E93387">
        <w:rPr>
          <w:rFonts w:cstheme="minorHAnsi"/>
        </w:rPr>
        <w:t>a:</w:t>
      </w:r>
    </w:p>
    <w:p w:rsidR="00EB386B" w:rsidRDefault="00EB386B" w:rsidP="00682A1A">
      <w:pPr>
        <w:spacing w:after="0" w:line="240" w:lineRule="auto"/>
        <w:jc w:val="both"/>
        <w:rPr>
          <w:rFonts w:cstheme="minorHAnsi"/>
        </w:rPr>
      </w:pPr>
    </w:p>
    <w:p w:rsidR="00E93387" w:rsidRPr="00355A0A" w:rsidRDefault="00E93387" w:rsidP="00EE034C">
      <w:pPr>
        <w:pStyle w:val="Prrafodelista"/>
        <w:numPr>
          <w:ilvl w:val="0"/>
          <w:numId w:val="11"/>
        </w:numPr>
        <w:spacing w:after="0" w:line="240" w:lineRule="auto"/>
        <w:jc w:val="both"/>
        <w:rPr>
          <w:rFonts w:cstheme="minorHAnsi"/>
        </w:rPr>
      </w:pPr>
      <w:r w:rsidRPr="00355A0A">
        <w:rPr>
          <w:rFonts w:cstheme="minorHAnsi"/>
        </w:rPr>
        <w:t>El valor de la cuota anual del crédito que le correspondería pagar al beneficiario durante el mismo año en que prestó el servicio, o</w:t>
      </w:r>
    </w:p>
    <w:p w:rsidR="00E93387" w:rsidRPr="00355A0A" w:rsidRDefault="00E93387" w:rsidP="00EE034C">
      <w:pPr>
        <w:pStyle w:val="Prrafodelista"/>
        <w:numPr>
          <w:ilvl w:val="0"/>
          <w:numId w:val="11"/>
        </w:numPr>
        <w:spacing w:after="0" w:line="240" w:lineRule="auto"/>
        <w:jc w:val="both"/>
        <w:rPr>
          <w:rFonts w:cstheme="minorHAnsi"/>
        </w:rPr>
      </w:pPr>
      <w:r w:rsidRPr="00355A0A">
        <w:rPr>
          <w:rFonts w:cstheme="minorHAnsi"/>
        </w:rPr>
        <w:t>En el caso que esta cuota haya sido pagada, el deudor podrá optar entre imputar el monto del beneficio para el pago de la cuota del próximo año, o bien para amortizar el remanente de la deuda.</w:t>
      </w:r>
    </w:p>
    <w:p w:rsidR="00EB386B" w:rsidRDefault="00EB386B" w:rsidP="00682A1A">
      <w:pPr>
        <w:spacing w:after="0" w:line="240" w:lineRule="auto"/>
        <w:jc w:val="both"/>
        <w:rPr>
          <w:rFonts w:cstheme="minorHAnsi"/>
        </w:rPr>
      </w:pPr>
    </w:p>
    <w:p w:rsidR="00F47C80" w:rsidRDefault="00F47C80" w:rsidP="00682A1A">
      <w:pPr>
        <w:spacing w:after="0" w:line="240" w:lineRule="auto"/>
        <w:jc w:val="both"/>
        <w:rPr>
          <w:rFonts w:cstheme="minorHAnsi"/>
        </w:rPr>
      </w:pPr>
      <w:r>
        <w:rPr>
          <w:rFonts w:cstheme="minorHAnsi"/>
        </w:rPr>
        <w:t>Por su parte, para aquellos deudores acogidos a la Ley Nº 20.027, el beneficio corresponderá a la cantidad que indique la Comisión Ingresa, que “será un prepago de su deuda de crédito, de acuerdo a lo que señalen las respectivas bases de licitación”.</w:t>
      </w:r>
    </w:p>
    <w:p w:rsidR="00F47C80" w:rsidRDefault="00F47C80" w:rsidP="00682A1A">
      <w:pPr>
        <w:spacing w:after="0" w:line="240" w:lineRule="auto"/>
        <w:jc w:val="both"/>
        <w:rPr>
          <w:rFonts w:cstheme="minorHAnsi"/>
        </w:rPr>
      </w:pPr>
    </w:p>
    <w:p w:rsidR="00E93387" w:rsidRDefault="00EB386B" w:rsidP="00682A1A">
      <w:pPr>
        <w:spacing w:after="0" w:line="240" w:lineRule="auto"/>
        <w:jc w:val="both"/>
        <w:rPr>
          <w:rFonts w:cstheme="minorHAnsi"/>
        </w:rPr>
      </w:pPr>
      <w:r>
        <w:rPr>
          <w:rFonts w:cstheme="minorHAnsi"/>
        </w:rPr>
        <w:t>El C</w:t>
      </w:r>
      <w:r w:rsidR="00E93387" w:rsidRPr="005F1362">
        <w:rPr>
          <w:rFonts w:cstheme="minorHAnsi"/>
        </w:rPr>
        <w:t xml:space="preserve">uadro </w:t>
      </w:r>
      <w:r>
        <w:rPr>
          <w:rFonts w:cstheme="minorHAnsi"/>
        </w:rPr>
        <w:t xml:space="preserve">Nº 9, </w:t>
      </w:r>
      <w:r w:rsidR="00E93387" w:rsidRPr="005F1362">
        <w:rPr>
          <w:rFonts w:cstheme="minorHAnsi"/>
        </w:rPr>
        <w:t>a continuación</w:t>
      </w:r>
      <w:r>
        <w:rPr>
          <w:rFonts w:cstheme="minorHAnsi"/>
        </w:rPr>
        <w:t>,</w:t>
      </w:r>
      <w:r w:rsidR="00E93387" w:rsidRPr="005F1362">
        <w:rPr>
          <w:rFonts w:cstheme="minorHAnsi"/>
        </w:rPr>
        <w:t xml:space="preserve"> presenta el destino del monto de los beneficios entregados, tanto en el proceso</w:t>
      </w:r>
      <w:r>
        <w:rPr>
          <w:rFonts w:cstheme="minorHAnsi"/>
        </w:rPr>
        <w:t xml:space="preserve"> 2010 como en el proceso 2011.</w:t>
      </w:r>
    </w:p>
    <w:p w:rsidR="00EB386B" w:rsidRDefault="00EB386B" w:rsidP="00682A1A">
      <w:pPr>
        <w:spacing w:after="0" w:line="240" w:lineRule="auto"/>
        <w:jc w:val="both"/>
        <w:rPr>
          <w:rFonts w:cstheme="minorHAnsi"/>
        </w:rPr>
      </w:pPr>
    </w:p>
    <w:p w:rsidR="00F47C80" w:rsidRDefault="00F47C80">
      <w:pPr>
        <w:rPr>
          <w:rFonts w:cstheme="minorHAnsi"/>
          <w:b/>
        </w:rPr>
      </w:pPr>
      <w:r>
        <w:rPr>
          <w:rFonts w:cstheme="minorHAnsi"/>
          <w:b/>
        </w:rPr>
        <w:br w:type="page"/>
      </w:r>
    </w:p>
    <w:p w:rsidR="00EB386B" w:rsidRPr="00EB386B" w:rsidRDefault="00EB386B" w:rsidP="00EB386B">
      <w:pPr>
        <w:spacing w:after="0" w:line="240" w:lineRule="auto"/>
        <w:jc w:val="center"/>
        <w:rPr>
          <w:rFonts w:cstheme="minorHAnsi"/>
          <w:b/>
        </w:rPr>
      </w:pPr>
      <w:r w:rsidRPr="00EB386B">
        <w:rPr>
          <w:rFonts w:cstheme="minorHAnsi"/>
          <w:b/>
        </w:rPr>
        <w:lastRenderedPageBreak/>
        <w:t>CUADRO Nº 9:</w:t>
      </w:r>
    </w:p>
    <w:p w:rsidR="00E93387" w:rsidRPr="005F1362" w:rsidRDefault="00EB386B" w:rsidP="00682A1A">
      <w:pPr>
        <w:spacing w:after="0" w:line="240" w:lineRule="auto"/>
        <w:jc w:val="center"/>
        <w:rPr>
          <w:rFonts w:cstheme="minorHAnsi"/>
          <w:b/>
        </w:rPr>
      </w:pPr>
      <w:r w:rsidRPr="005F1362">
        <w:rPr>
          <w:rFonts w:cstheme="minorHAnsi"/>
          <w:b/>
        </w:rPr>
        <w:t>DESTINO DEL B</w:t>
      </w:r>
      <w:r>
        <w:rPr>
          <w:rFonts w:cstheme="minorHAnsi"/>
          <w:b/>
        </w:rPr>
        <w:t>ENEFICIO, SEGÚN AÑO DEL PROCESO</w:t>
      </w:r>
    </w:p>
    <w:tbl>
      <w:tblPr>
        <w:tblStyle w:val="Sombreadomedio1-nfasis11"/>
        <w:tblW w:w="0" w:type="auto"/>
        <w:jc w:val="center"/>
        <w:tblInd w:w="508" w:type="dxa"/>
        <w:tblLook w:val="00E0" w:firstRow="1" w:lastRow="1" w:firstColumn="1" w:lastColumn="0" w:noHBand="0" w:noVBand="0"/>
      </w:tblPr>
      <w:tblGrid>
        <w:gridCol w:w="3286"/>
        <w:gridCol w:w="1128"/>
        <w:gridCol w:w="1128"/>
        <w:gridCol w:w="1477"/>
      </w:tblGrid>
      <w:tr w:rsidR="00E93387" w:rsidRPr="00C7391E" w:rsidTr="00BD6C11">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86" w:type="dxa"/>
            <w:vMerge w:val="restart"/>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Destino del Monto de Beneficio</w:t>
            </w:r>
          </w:p>
        </w:tc>
        <w:tc>
          <w:tcPr>
            <w:cnfStyle w:val="000010000000" w:firstRow="0" w:lastRow="0" w:firstColumn="0" w:lastColumn="0" w:oddVBand="1" w:evenVBand="0" w:oddHBand="0" w:evenHBand="0" w:firstRowFirstColumn="0" w:firstRowLastColumn="0" w:lastRowFirstColumn="0" w:lastRowLastColumn="0"/>
            <w:tcW w:w="3733" w:type="dxa"/>
            <w:gridSpan w:val="3"/>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Año del Proceso</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86" w:type="dxa"/>
            <w:vMerge/>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p>
        </w:tc>
        <w:tc>
          <w:tcPr>
            <w:cnfStyle w:val="000010000000" w:firstRow="0" w:lastRow="0" w:firstColumn="0" w:lastColumn="0" w:oddVBand="1" w:evenVBand="0" w:oddHBand="0" w:evenHBand="0" w:firstRowFirstColumn="0" w:firstRowLastColumn="0" w:lastRowFirstColumn="0" w:lastRowLastColumn="0"/>
            <w:tcW w:w="1128"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b/>
                <w:bCs/>
                <w:sz w:val="20"/>
                <w:szCs w:val="20"/>
              </w:rPr>
            </w:pPr>
            <w:r w:rsidRPr="00C7391E">
              <w:rPr>
                <w:rFonts w:ascii="Arial" w:hAnsi="Arial" w:cs="Arial"/>
                <w:b/>
                <w:bCs/>
                <w:sz w:val="20"/>
                <w:szCs w:val="20"/>
              </w:rPr>
              <w:t>2010</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C7391E">
              <w:rPr>
                <w:rFonts w:ascii="Arial" w:hAnsi="Arial" w:cs="Arial"/>
                <w:b/>
                <w:bCs/>
                <w:sz w:val="20"/>
                <w:szCs w:val="20"/>
              </w:rPr>
              <w:t>2011</w:t>
            </w:r>
          </w:p>
        </w:tc>
        <w:tc>
          <w:tcPr>
            <w:cnfStyle w:val="000010000000" w:firstRow="0" w:lastRow="0" w:firstColumn="0" w:lastColumn="0" w:oddVBand="1" w:evenVBand="0" w:oddHBand="0" w:evenHBand="0" w:firstRowFirstColumn="0" w:firstRowLastColumn="0" w:lastRowFirstColumn="0" w:lastRowLastColumn="0"/>
            <w:tcW w:w="1477" w:type="dxa"/>
            <w:tcBorders>
              <w:top w:val="single" w:sz="4" w:space="0" w:color="95B3D7" w:themeColor="accent1" w:themeTint="99"/>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b/>
                <w:bCs/>
                <w:sz w:val="20"/>
                <w:szCs w:val="20"/>
              </w:rPr>
            </w:pPr>
            <w:r w:rsidRPr="00C7391E">
              <w:rPr>
                <w:rFonts w:ascii="Arial" w:hAnsi="Arial" w:cs="Arial"/>
                <w:b/>
                <w:bCs/>
                <w:sz w:val="20"/>
                <w:szCs w:val="20"/>
              </w:rPr>
              <w:t>Total general</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86"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Amortizar Deuda</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9</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34</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43</w:t>
            </w:r>
          </w:p>
        </w:tc>
      </w:tr>
      <w:tr w:rsidR="00E93387" w:rsidRPr="00C7391E" w:rsidTr="00BD6C1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86"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Cuota Anual Futura</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31</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C7391E">
              <w:rPr>
                <w:rFonts w:ascii="Arial" w:hAnsi="Arial" w:cs="Arial"/>
                <w:sz w:val="20"/>
                <w:szCs w:val="20"/>
              </w:rPr>
              <w:t>115</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146</w:t>
            </w:r>
          </w:p>
        </w:tc>
      </w:tr>
      <w:tr w:rsidR="00E93387" w:rsidRPr="00C7391E" w:rsidTr="00BD6C11">
        <w:trPr>
          <w:cnfStyle w:val="000000010000" w:firstRow="0" w:lastRow="0" w:firstColumn="0" w:lastColumn="0" w:oddVBand="0" w:evenVBand="0" w:oddHBand="0" w:evenHBand="1"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86"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Cuota Anual Pagada</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21</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C7391E">
              <w:rPr>
                <w:rFonts w:ascii="Arial" w:hAnsi="Arial" w:cs="Arial"/>
                <w:sz w:val="20"/>
                <w:szCs w:val="20"/>
              </w:rPr>
              <w:t>49</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70</w:t>
            </w:r>
          </w:p>
        </w:tc>
      </w:tr>
      <w:tr w:rsidR="00E93387" w:rsidRPr="00C7391E" w:rsidTr="00BD6C11">
        <w:trPr>
          <w:cnfStyle w:val="010000000000" w:firstRow="0" w:lastRow="1"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286" w:type="dxa"/>
            <w:tcBorders>
              <w:right w:val="single" w:sz="4" w:space="0" w:color="95B3D7" w:themeColor="accent1" w:themeTint="99"/>
            </w:tcBorders>
            <w:noWrap/>
            <w:vAlign w:val="center"/>
            <w:hideMark/>
          </w:tcPr>
          <w:p w:rsidR="00E93387" w:rsidRPr="00C7391E" w:rsidRDefault="00E93387" w:rsidP="00682A1A">
            <w:pPr>
              <w:rPr>
                <w:rFonts w:ascii="Arial" w:hAnsi="Arial" w:cs="Arial"/>
                <w:sz w:val="20"/>
                <w:szCs w:val="20"/>
              </w:rPr>
            </w:pPr>
            <w:r w:rsidRPr="00C7391E">
              <w:rPr>
                <w:rFonts w:ascii="Arial" w:hAnsi="Arial" w:cs="Arial"/>
                <w:sz w:val="20"/>
                <w:szCs w:val="20"/>
              </w:rPr>
              <w:t>Total general</w:t>
            </w:r>
          </w:p>
        </w:tc>
        <w:tc>
          <w:tcPr>
            <w:cnfStyle w:val="000010000000" w:firstRow="0" w:lastRow="0" w:firstColumn="0" w:lastColumn="0" w:oddVBand="1" w:evenVBand="0" w:oddHBand="0" w:evenHBand="0" w:firstRowFirstColumn="0" w:firstRowLastColumn="0" w:lastRowFirstColumn="0" w:lastRowLastColumn="0"/>
            <w:tcW w:w="1128"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61</w:t>
            </w:r>
          </w:p>
        </w:tc>
        <w:tc>
          <w:tcPr>
            <w:tcW w:w="1128" w:type="dxa"/>
            <w:tcBorders>
              <w:left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cnfStyle w:val="010000000000" w:firstRow="0" w:lastRow="1" w:firstColumn="0" w:lastColumn="0" w:oddVBand="0" w:evenVBand="0" w:oddHBand="0" w:evenHBand="0" w:firstRowFirstColumn="0" w:firstRowLastColumn="0" w:lastRowFirstColumn="0" w:lastRowLastColumn="0"/>
              <w:rPr>
                <w:rFonts w:ascii="Arial" w:hAnsi="Arial" w:cs="Arial"/>
                <w:sz w:val="20"/>
                <w:szCs w:val="20"/>
              </w:rPr>
            </w:pPr>
            <w:r w:rsidRPr="00C7391E">
              <w:rPr>
                <w:rFonts w:ascii="Arial" w:hAnsi="Arial" w:cs="Arial"/>
                <w:sz w:val="20"/>
                <w:szCs w:val="20"/>
              </w:rPr>
              <w:t>198</w:t>
            </w:r>
          </w:p>
        </w:tc>
        <w:tc>
          <w:tcPr>
            <w:cnfStyle w:val="000010000000" w:firstRow="0" w:lastRow="0" w:firstColumn="0" w:lastColumn="0" w:oddVBand="1" w:evenVBand="0" w:oddHBand="0" w:evenHBand="0" w:firstRowFirstColumn="0" w:firstRowLastColumn="0" w:lastRowFirstColumn="0" w:lastRowLastColumn="0"/>
            <w:tcW w:w="1477" w:type="dxa"/>
            <w:tcBorders>
              <w:left w:val="single" w:sz="4" w:space="0" w:color="95B3D7" w:themeColor="accent1" w:themeTint="99"/>
              <w:bottom w:val="single" w:sz="4" w:space="0" w:color="95B3D7" w:themeColor="accent1" w:themeTint="99"/>
              <w:right w:val="single" w:sz="4" w:space="0" w:color="95B3D7" w:themeColor="accent1" w:themeTint="99"/>
            </w:tcBorders>
            <w:noWrap/>
            <w:vAlign w:val="center"/>
            <w:hideMark/>
          </w:tcPr>
          <w:p w:rsidR="00E93387" w:rsidRPr="00C7391E" w:rsidRDefault="00E93387" w:rsidP="00682A1A">
            <w:pPr>
              <w:jc w:val="center"/>
              <w:rPr>
                <w:rFonts w:ascii="Arial" w:hAnsi="Arial" w:cs="Arial"/>
                <w:sz w:val="20"/>
                <w:szCs w:val="20"/>
              </w:rPr>
            </w:pPr>
            <w:r w:rsidRPr="00C7391E">
              <w:rPr>
                <w:rFonts w:ascii="Arial" w:hAnsi="Arial" w:cs="Arial"/>
                <w:sz w:val="20"/>
                <w:szCs w:val="20"/>
              </w:rPr>
              <w:t>259</w:t>
            </w:r>
          </w:p>
        </w:tc>
      </w:tr>
    </w:tbl>
    <w:p w:rsidR="00E93387" w:rsidRPr="00EB386B" w:rsidRDefault="00EB386B" w:rsidP="00EB386B">
      <w:pPr>
        <w:spacing w:after="0" w:line="240" w:lineRule="auto"/>
        <w:jc w:val="center"/>
        <w:rPr>
          <w:rFonts w:cstheme="minorHAnsi"/>
          <w:sz w:val="18"/>
          <w:szCs w:val="18"/>
        </w:rPr>
      </w:pPr>
      <w:r w:rsidRPr="00EB386B">
        <w:rPr>
          <w:rFonts w:cstheme="minorHAnsi"/>
          <w:sz w:val="18"/>
          <w:szCs w:val="18"/>
        </w:rPr>
        <w:t>Fuente: DIPRES</w:t>
      </w:r>
      <w:r w:rsidR="00DA4570">
        <w:rPr>
          <w:rFonts w:cstheme="minorHAnsi"/>
          <w:sz w:val="18"/>
          <w:szCs w:val="18"/>
        </w:rPr>
        <w:t xml:space="preserve"> en base a datos Tesorería.</w:t>
      </w:r>
    </w:p>
    <w:p w:rsidR="00EB386B" w:rsidRDefault="00EB386B" w:rsidP="00682A1A">
      <w:pPr>
        <w:spacing w:after="0" w:line="240" w:lineRule="auto"/>
        <w:jc w:val="both"/>
        <w:rPr>
          <w:rFonts w:cstheme="minorHAnsi"/>
        </w:rPr>
      </w:pPr>
    </w:p>
    <w:p w:rsidR="00E93387" w:rsidRDefault="00E93387" w:rsidP="00682A1A">
      <w:pPr>
        <w:spacing w:after="0" w:line="240" w:lineRule="auto"/>
        <w:jc w:val="both"/>
        <w:rPr>
          <w:rFonts w:cstheme="minorHAnsi"/>
        </w:rPr>
      </w:pPr>
      <w:r>
        <w:rPr>
          <w:rFonts w:cstheme="minorHAnsi"/>
        </w:rPr>
        <w:t>M</w:t>
      </w:r>
      <w:r w:rsidRPr="005F1362">
        <w:rPr>
          <w:rFonts w:cstheme="minorHAnsi"/>
        </w:rPr>
        <w:t>ás del 55% de los bene</w:t>
      </w:r>
      <w:r>
        <w:rPr>
          <w:rFonts w:cstheme="minorHAnsi"/>
        </w:rPr>
        <w:t>ficios entregados en ambos años</w:t>
      </w:r>
      <w:r w:rsidRPr="005F1362">
        <w:rPr>
          <w:rFonts w:cstheme="minorHAnsi"/>
        </w:rPr>
        <w:t xml:space="preserve"> fueron destinados a pagar la cuota anual futura del deudor. Lo anterior significa que, al momento de postular al beneficio, la mayor parte de los beneficiarios habría pagado la cuota anual correspondiente al año en que prestó servicios. Esto responde a que</w:t>
      </w:r>
      <w:r>
        <w:rPr>
          <w:rFonts w:cstheme="minorHAnsi"/>
        </w:rPr>
        <w:t>,</w:t>
      </w:r>
      <w:r w:rsidRPr="005F1362">
        <w:rPr>
          <w:rFonts w:cstheme="minorHAnsi"/>
        </w:rPr>
        <w:t xml:space="preserve"> al momento de postular y durante todo el período en que se presten los servicios</w:t>
      </w:r>
      <w:r>
        <w:rPr>
          <w:rFonts w:cstheme="minorHAnsi"/>
        </w:rPr>
        <w:t>,</w:t>
      </w:r>
      <w:r w:rsidR="00D207F3">
        <w:rPr>
          <w:rFonts w:cstheme="minorHAnsi"/>
        </w:rPr>
        <w:t xml:space="preserve"> los beneficiarios de la L</w:t>
      </w:r>
      <w:r w:rsidRPr="005F1362">
        <w:rPr>
          <w:rFonts w:cstheme="minorHAnsi"/>
        </w:rPr>
        <w:t>ey N°20.330 deben encontrarse al día en el pago de las obligaciones derivadas de los respectivos créditos</w:t>
      </w:r>
      <w:r>
        <w:rPr>
          <w:rFonts w:cstheme="minorHAnsi"/>
        </w:rPr>
        <w:t>.</w:t>
      </w:r>
    </w:p>
    <w:p w:rsidR="00EB386B" w:rsidRDefault="00EB386B" w:rsidP="00682A1A">
      <w:pPr>
        <w:spacing w:after="0" w:line="240" w:lineRule="auto"/>
        <w:jc w:val="both"/>
        <w:rPr>
          <w:rFonts w:cstheme="minorHAnsi"/>
        </w:rPr>
      </w:pPr>
    </w:p>
    <w:p w:rsidR="00E93387" w:rsidRPr="005F1362" w:rsidRDefault="00E93387" w:rsidP="00682A1A">
      <w:pPr>
        <w:spacing w:after="0" w:line="240" w:lineRule="auto"/>
        <w:jc w:val="both"/>
        <w:rPr>
          <w:rFonts w:cstheme="minorHAnsi"/>
        </w:rPr>
      </w:pPr>
      <w:r>
        <w:rPr>
          <w:rFonts w:cstheme="minorHAnsi"/>
        </w:rPr>
        <w:t xml:space="preserve">En esta línea, es importante remarcar que muchos de los beneficiarios encuestados se quejan de que el plazo de pago del beneficio no está bien compatibilizado con el plazo de renegociación anual de la deuda universitaria, lo que </w:t>
      </w:r>
      <w:r w:rsidR="00D207F3">
        <w:rPr>
          <w:rFonts w:cstheme="minorHAnsi"/>
        </w:rPr>
        <w:t xml:space="preserve">los </w:t>
      </w:r>
      <w:r>
        <w:rPr>
          <w:rFonts w:cstheme="minorHAnsi"/>
        </w:rPr>
        <w:t>obliga a desembolsar los dineros de su propio peculio antes que la Tesorería haga efectivo el pago.</w:t>
      </w:r>
    </w:p>
    <w:p w:rsidR="00C63782" w:rsidRDefault="00C63782" w:rsidP="00682A1A">
      <w:pPr>
        <w:spacing w:after="0" w:line="240" w:lineRule="auto"/>
        <w:jc w:val="both"/>
      </w:pPr>
    </w:p>
    <w:p w:rsidR="009D58FC" w:rsidRDefault="009D58FC" w:rsidP="00682A1A">
      <w:pPr>
        <w:spacing w:after="0" w:line="240" w:lineRule="auto"/>
        <w:jc w:val="both"/>
      </w:pPr>
    </w:p>
    <w:p w:rsidR="001112AE" w:rsidRPr="009B6D95" w:rsidRDefault="00D207F3" w:rsidP="009B6D95">
      <w:pPr>
        <w:pStyle w:val="Ttulo1"/>
        <w:numPr>
          <w:ilvl w:val="0"/>
          <w:numId w:val="5"/>
        </w:numPr>
      </w:pPr>
      <w:bookmarkStart w:id="41" w:name="_Toc341866742"/>
      <w:r>
        <w:t xml:space="preserve">SÍNTESIS A MODO DE </w:t>
      </w:r>
      <w:r w:rsidR="004B16CA">
        <w:t xml:space="preserve">CONCLUSIONES: </w:t>
      </w:r>
      <w:r w:rsidR="001112AE" w:rsidRPr="009B6D95">
        <w:t>FORTALEZAS Y DEBILIDADES GENERALES DE LA LEY Y SU APLICACIÓN</w:t>
      </w:r>
      <w:bookmarkEnd w:id="41"/>
    </w:p>
    <w:p w:rsidR="001112AE" w:rsidRDefault="001112AE" w:rsidP="001112AE">
      <w:pPr>
        <w:spacing w:after="0" w:line="240" w:lineRule="auto"/>
        <w:jc w:val="both"/>
        <w:rPr>
          <w:lang w:val="es-ES"/>
        </w:rPr>
      </w:pPr>
    </w:p>
    <w:p w:rsidR="001112AE" w:rsidRDefault="001112AE" w:rsidP="001112AE">
      <w:pPr>
        <w:spacing w:after="0" w:line="240" w:lineRule="auto"/>
        <w:jc w:val="both"/>
        <w:rPr>
          <w:lang w:val="es-ES"/>
        </w:rPr>
      </w:pPr>
      <w:r w:rsidRPr="00463A8F">
        <w:rPr>
          <w:lang w:val="es-ES"/>
        </w:rPr>
        <w:t xml:space="preserve">En base a lo revisado hasta aquí y a las opiniones vertidas por encuestados y entrevistados frente a la pregunta explícita sobre fortalezas y debilidades, se </w:t>
      </w:r>
      <w:r>
        <w:rPr>
          <w:lang w:val="es-ES"/>
        </w:rPr>
        <w:t>sintetizan</w:t>
      </w:r>
      <w:r w:rsidRPr="00463A8F">
        <w:rPr>
          <w:lang w:val="es-ES"/>
        </w:rPr>
        <w:t xml:space="preserve"> a continuación –y a modo de </w:t>
      </w:r>
      <w:r>
        <w:rPr>
          <w:lang w:val="es-ES"/>
        </w:rPr>
        <w:t>conclusiones</w:t>
      </w:r>
      <w:r w:rsidRPr="00463A8F">
        <w:rPr>
          <w:lang w:val="es-ES"/>
        </w:rPr>
        <w:t>–</w:t>
      </w:r>
      <w:r>
        <w:rPr>
          <w:lang w:val="es-ES"/>
        </w:rPr>
        <w:t xml:space="preserve"> los resultados de esta evaluación. Se agrupan en torno a dos grandes ideas:</w:t>
      </w:r>
    </w:p>
    <w:p w:rsidR="001112AE" w:rsidRDefault="001112AE" w:rsidP="001112AE">
      <w:pPr>
        <w:spacing w:after="0" w:line="240" w:lineRule="auto"/>
        <w:jc w:val="both"/>
        <w:rPr>
          <w:lang w:val="es-ES"/>
        </w:rPr>
      </w:pPr>
    </w:p>
    <w:p w:rsidR="001112AE" w:rsidRDefault="001112AE" w:rsidP="00EE034C">
      <w:pPr>
        <w:pStyle w:val="Prrafodelista"/>
        <w:numPr>
          <w:ilvl w:val="0"/>
          <w:numId w:val="13"/>
        </w:numPr>
        <w:spacing w:after="0" w:line="240" w:lineRule="auto"/>
        <w:contextualSpacing w:val="0"/>
        <w:jc w:val="both"/>
        <w:rPr>
          <w:lang w:val="es-ES"/>
        </w:rPr>
      </w:pPr>
      <w:r>
        <w:rPr>
          <w:lang w:val="es-ES"/>
        </w:rPr>
        <w:t xml:space="preserve">Sobre el </w:t>
      </w:r>
      <w:r w:rsidRPr="005D3B13">
        <w:rPr>
          <w:lang w:val="es-ES"/>
        </w:rPr>
        <w:t>espíritu de la formulación de la i</w:t>
      </w:r>
      <w:r>
        <w:rPr>
          <w:lang w:val="es-ES"/>
        </w:rPr>
        <w:t>niciativa que se tradujo en ley: e</w:t>
      </w:r>
      <w:r w:rsidRPr="00463A8F">
        <w:rPr>
          <w:lang w:val="es-ES"/>
        </w:rPr>
        <w:t>l cumplimiento (o incumplimiento) de los objetivos y el espíritu de la Ley, que se pueden leer principalmente en el mensaje del proyecto al Parlamento, así como en las discusiones en éste último.</w:t>
      </w:r>
    </w:p>
    <w:p w:rsidR="001112AE" w:rsidRDefault="001112AE" w:rsidP="00EE034C">
      <w:pPr>
        <w:pStyle w:val="Prrafodelista"/>
        <w:numPr>
          <w:ilvl w:val="0"/>
          <w:numId w:val="13"/>
        </w:numPr>
        <w:spacing w:after="0" w:line="240" w:lineRule="auto"/>
        <w:contextualSpacing w:val="0"/>
        <w:jc w:val="both"/>
        <w:rPr>
          <w:lang w:val="es-ES"/>
        </w:rPr>
      </w:pPr>
      <w:r>
        <w:rPr>
          <w:lang w:val="es-ES"/>
        </w:rPr>
        <w:t>Sobre la operatoria del instrumento: el proceso con el que se resuelve la administración del programa de beneficios.</w:t>
      </w:r>
    </w:p>
    <w:p w:rsidR="001112AE" w:rsidRPr="00463A8F" w:rsidRDefault="001112AE" w:rsidP="001112AE">
      <w:pPr>
        <w:spacing w:after="0" w:line="240" w:lineRule="auto"/>
        <w:ind w:left="720"/>
        <w:contextualSpacing/>
        <w:jc w:val="both"/>
        <w:rPr>
          <w:lang w:val="es-ES"/>
        </w:rPr>
      </w:pPr>
    </w:p>
    <w:p w:rsidR="001112AE" w:rsidRPr="009B6D95" w:rsidRDefault="001112AE" w:rsidP="009B6D95">
      <w:pPr>
        <w:pStyle w:val="Ttulo2"/>
      </w:pPr>
      <w:bookmarkStart w:id="42" w:name="_Toc341866743"/>
      <w:r w:rsidRPr="009B6D95">
        <w:t>Sobre el espíritu de la ley</w:t>
      </w:r>
      <w:bookmarkEnd w:id="42"/>
    </w:p>
    <w:p w:rsidR="001112AE" w:rsidRPr="00681EB7" w:rsidRDefault="001112AE" w:rsidP="001112AE">
      <w:pPr>
        <w:spacing w:after="0" w:line="240" w:lineRule="auto"/>
        <w:jc w:val="both"/>
        <w:rPr>
          <w:b/>
          <w:lang w:val="es-ES"/>
        </w:rPr>
      </w:pPr>
    </w:p>
    <w:p w:rsidR="001112AE" w:rsidRPr="002B448D" w:rsidRDefault="001112AE" w:rsidP="004B16CA">
      <w:pPr>
        <w:numPr>
          <w:ilvl w:val="0"/>
          <w:numId w:val="12"/>
        </w:numPr>
        <w:spacing w:after="0" w:line="240" w:lineRule="auto"/>
        <w:ind w:left="348"/>
        <w:contextualSpacing/>
        <w:jc w:val="both"/>
        <w:rPr>
          <w:lang w:val="es-ES"/>
        </w:rPr>
      </w:pPr>
      <w:r w:rsidRPr="002B448D">
        <w:rPr>
          <w:lang w:val="es-ES"/>
        </w:rPr>
        <w:t>Poca claridad de la ley y su reglamento da libertad a la interpretación y ha permitido</w:t>
      </w:r>
      <w:r w:rsidR="002B448D" w:rsidRPr="002B448D">
        <w:rPr>
          <w:lang w:val="es-ES"/>
        </w:rPr>
        <w:t xml:space="preserve">, por ejemplo, </w:t>
      </w:r>
      <w:r w:rsidR="006505DB" w:rsidRPr="002B448D">
        <w:rPr>
          <w:lang w:val="es-ES"/>
        </w:rPr>
        <w:t xml:space="preserve">que </w:t>
      </w:r>
      <w:r w:rsidRPr="002B448D">
        <w:rPr>
          <w:lang w:val="es-ES"/>
        </w:rPr>
        <w:t xml:space="preserve">profesionales </w:t>
      </w:r>
      <w:r w:rsidRPr="001576AF">
        <w:rPr>
          <w:i/>
          <w:lang w:val="es-ES"/>
        </w:rPr>
        <w:t>antiguos funcionarios</w:t>
      </w:r>
      <w:r w:rsidRPr="002B448D">
        <w:rPr>
          <w:lang w:val="es-ES"/>
        </w:rPr>
        <w:t xml:space="preserve"> reciban el beneficio.</w:t>
      </w:r>
      <w:r w:rsidR="002B448D">
        <w:rPr>
          <w:lang w:val="es-ES"/>
        </w:rPr>
        <w:t xml:space="preserve"> </w:t>
      </w:r>
      <w:r w:rsidRPr="002B448D">
        <w:rPr>
          <w:lang w:val="es-ES"/>
        </w:rPr>
        <w:t>En más de la mitad de las regiones no se respetó el que los profesionales debían haberse incorporado a sus funciones una vez entrada en vigor la ley (artículo 1º del instrumento).</w:t>
      </w:r>
    </w:p>
    <w:p w:rsidR="001112AE" w:rsidRDefault="001112AE" w:rsidP="004B16CA">
      <w:pPr>
        <w:spacing w:after="0" w:line="240" w:lineRule="auto"/>
        <w:ind w:left="348"/>
        <w:contextualSpacing/>
        <w:jc w:val="both"/>
        <w:rPr>
          <w:lang w:val="es-ES"/>
        </w:rPr>
      </w:pPr>
    </w:p>
    <w:p w:rsidR="001112AE" w:rsidRDefault="001112AE" w:rsidP="00EE034C">
      <w:pPr>
        <w:numPr>
          <w:ilvl w:val="0"/>
          <w:numId w:val="12"/>
        </w:numPr>
        <w:spacing w:after="0" w:line="240" w:lineRule="auto"/>
        <w:ind w:left="360"/>
        <w:contextualSpacing/>
        <w:jc w:val="both"/>
        <w:rPr>
          <w:lang w:val="es-ES"/>
        </w:rPr>
      </w:pPr>
      <w:r>
        <w:rPr>
          <w:lang w:val="es-ES"/>
        </w:rPr>
        <w:t>Son justamente l</w:t>
      </w:r>
      <w:r w:rsidRPr="00463A8F">
        <w:rPr>
          <w:lang w:val="es-ES"/>
        </w:rPr>
        <w:t xml:space="preserve">os municipios </w:t>
      </w:r>
      <w:r>
        <w:rPr>
          <w:lang w:val="es-ES"/>
        </w:rPr>
        <w:t xml:space="preserve">de las comunas más rurales, más aisladas, más pequeñas, normalmente más pobres, los que </w:t>
      </w:r>
      <w:r w:rsidRPr="00463A8F">
        <w:rPr>
          <w:lang w:val="es-ES"/>
        </w:rPr>
        <w:t>cuentan con menos profesionales</w:t>
      </w:r>
      <w:r>
        <w:rPr>
          <w:lang w:val="es-ES"/>
        </w:rPr>
        <w:t xml:space="preserve"> y, por lo tanto, menos potenciales candidatos</w:t>
      </w:r>
      <w:r w:rsidRPr="00463A8F">
        <w:rPr>
          <w:lang w:val="es-ES"/>
        </w:rPr>
        <w:t xml:space="preserve"> </w:t>
      </w:r>
      <w:r>
        <w:rPr>
          <w:lang w:val="es-ES"/>
        </w:rPr>
        <w:t>a obtener el beneficio (al modo de “premio” en que ha operado).</w:t>
      </w:r>
      <w:r w:rsidRPr="00463A8F">
        <w:rPr>
          <w:lang w:val="es-ES"/>
        </w:rPr>
        <w:t xml:space="preserve"> </w:t>
      </w:r>
      <w:r>
        <w:rPr>
          <w:lang w:val="es-ES"/>
        </w:rPr>
        <w:t xml:space="preserve">A la </w:t>
      </w:r>
      <w:r>
        <w:rPr>
          <w:lang w:val="es-ES"/>
        </w:rPr>
        <w:lastRenderedPageBreak/>
        <w:t xml:space="preserve">vez, son los que cuentan con menos presupuesto para nuevas contrataciones (al modo de “incentivo” para atraer profesionales). Por más que la ley los libere del tope presupuestario </w:t>
      </w:r>
      <w:proofErr w:type="spellStart"/>
      <w:r>
        <w:rPr>
          <w:lang w:val="es-ES"/>
        </w:rPr>
        <w:t>destinable</w:t>
      </w:r>
      <w:proofErr w:type="spellEnd"/>
      <w:r>
        <w:rPr>
          <w:lang w:val="es-ES"/>
        </w:rPr>
        <w:t xml:space="preserve"> a remuneraciones (artículo 9º</w:t>
      </w:r>
      <w:r w:rsidR="002B448D">
        <w:rPr>
          <w:lang w:val="es-ES"/>
        </w:rPr>
        <w:t xml:space="preserve"> de la Ley</w:t>
      </w:r>
      <w:r>
        <w:rPr>
          <w:lang w:val="es-ES"/>
        </w:rPr>
        <w:t>), no pueden distraer recursos a pagar más remuneraciones. Sin perjuicio de estas imposibilidades prácticas, también ocurre que los actores están desinformados sobre dicha liberación.</w:t>
      </w:r>
    </w:p>
    <w:p w:rsidR="006E365C" w:rsidRDefault="006E365C" w:rsidP="006E365C">
      <w:pPr>
        <w:spacing w:after="0" w:line="240" w:lineRule="auto"/>
        <w:contextualSpacing/>
        <w:jc w:val="both"/>
        <w:rPr>
          <w:lang w:val="es-ES"/>
        </w:rPr>
      </w:pPr>
    </w:p>
    <w:p w:rsidR="001112AE" w:rsidRDefault="001112AE" w:rsidP="00EE034C">
      <w:pPr>
        <w:numPr>
          <w:ilvl w:val="0"/>
          <w:numId w:val="12"/>
        </w:numPr>
        <w:spacing w:after="0" w:line="240" w:lineRule="auto"/>
        <w:ind w:left="360"/>
        <w:contextualSpacing/>
        <w:jc w:val="both"/>
        <w:rPr>
          <w:lang w:val="es-ES"/>
        </w:rPr>
      </w:pPr>
      <w:r>
        <w:rPr>
          <w:lang w:val="es-ES"/>
        </w:rPr>
        <w:t>Aunque los encargados regionales no plantean reparos a la forma en que se construye el ranking de las comunas con menor desarrollo, es claro que n</w:t>
      </w:r>
      <w:r w:rsidRPr="00463A8F">
        <w:rPr>
          <w:lang w:val="es-ES"/>
        </w:rPr>
        <w:t xml:space="preserve">o ha habido </w:t>
      </w:r>
      <w:r>
        <w:rPr>
          <w:lang w:val="es-ES"/>
        </w:rPr>
        <w:t xml:space="preserve">un </w:t>
      </w:r>
      <w:r w:rsidRPr="00463A8F">
        <w:rPr>
          <w:lang w:val="es-ES"/>
        </w:rPr>
        <w:t xml:space="preserve">criterio </w:t>
      </w:r>
      <w:r>
        <w:rPr>
          <w:lang w:val="es-ES"/>
        </w:rPr>
        <w:t xml:space="preserve">explícito o comprensible </w:t>
      </w:r>
      <w:r w:rsidRPr="00463A8F">
        <w:rPr>
          <w:lang w:val="es-ES"/>
        </w:rPr>
        <w:t xml:space="preserve">para determinar la línea de corte </w:t>
      </w:r>
      <w:r>
        <w:rPr>
          <w:lang w:val="es-ES"/>
        </w:rPr>
        <w:t xml:space="preserve">para acotar el listado en los decretos anuales que establecen comunas y cupos que pueden optar al beneficio. Por lo demás, no ha habido relación entre </w:t>
      </w:r>
      <w:r w:rsidR="006505DB">
        <w:rPr>
          <w:lang w:val="es-ES"/>
        </w:rPr>
        <w:t>el aumento anual radical de aqué</w:t>
      </w:r>
      <w:r>
        <w:rPr>
          <w:lang w:val="es-ES"/>
        </w:rPr>
        <w:t>llos, y su utilización real. Resulta por lo menos curioso que el listado 2012 incluya al 84 % del total de comunas del país y que en él aparezcan grandes comunas urbanas del área metropolitana de Santiago y comunas capitales regionales.</w:t>
      </w:r>
    </w:p>
    <w:p w:rsidR="006E365C" w:rsidRDefault="006E365C" w:rsidP="006E365C">
      <w:pPr>
        <w:spacing w:after="0" w:line="240" w:lineRule="auto"/>
        <w:ind w:left="360"/>
        <w:contextualSpacing/>
        <w:jc w:val="both"/>
        <w:rPr>
          <w:lang w:val="es-ES"/>
        </w:rPr>
      </w:pPr>
    </w:p>
    <w:p w:rsidR="001112AE" w:rsidRDefault="00824AB0" w:rsidP="008652FF">
      <w:pPr>
        <w:spacing w:after="0" w:line="240" w:lineRule="auto"/>
        <w:ind w:left="360"/>
        <w:contextualSpacing/>
        <w:jc w:val="both"/>
        <w:rPr>
          <w:lang w:val="es-ES"/>
        </w:rPr>
      </w:pPr>
      <w:r w:rsidRPr="00824AB0">
        <w:rPr>
          <w:lang w:val="es-ES"/>
        </w:rPr>
        <w:t>A este respecto, es pertinente constatar que, según la historia de la ley que se encuentra en la Biblioteca del Congreso Nacional</w:t>
      </w:r>
      <w:r w:rsidR="008652FF" w:rsidRPr="00824AB0">
        <w:rPr>
          <w:lang w:val="es-ES"/>
        </w:rPr>
        <w:t xml:space="preserve">, </w:t>
      </w:r>
      <w:r w:rsidRPr="00824AB0">
        <w:rPr>
          <w:lang w:val="es-ES"/>
        </w:rPr>
        <w:t>en algún punto de la</w:t>
      </w:r>
      <w:r w:rsidR="008652FF" w:rsidRPr="00824AB0">
        <w:rPr>
          <w:lang w:val="es-ES"/>
        </w:rPr>
        <w:t xml:space="preserve"> discusión en sala se </w:t>
      </w:r>
      <w:r w:rsidRPr="00824AB0">
        <w:rPr>
          <w:lang w:val="es-ES"/>
        </w:rPr>
        <w:t>planteó excluir del beneficio a</w:t>
      </w:r>
      <w:r w:rsidR="008652FF" w:rsidRPr="00824AB0">
        <w:rPr>
          <w:lang w:val="es-ES"/>
        </w:rPr>
        <w:t xml:space="preserve"> las capitales regionales y </w:t>
      </w:r>
      <w:r w:rsidRPr="00824AB0">
        <w:rPr>
          <w:lang w:val="es-ES"/>
        </w:rPr>
        <w:t xml:space="preserve">a las comunas de </w:t>
      </w:r>
      <w:r w:rsidR="008652FF" w:rsidRPr="00824AB0">
        <w:rPr>
          <w:lang w:val="es-ES"/>
        </w:rPr>
        <w:t>la Región Metropolitana</w:t>
      </w:r>
      <w:r w:rsidRPr="00824AB0">
        <w:rPr>
          <w:lang w:val="es-ES"/>
        </w:rPr>
        <w:t>. Sin embrago, varios parlamentarios se opusieron, argumentando, por ejemplo, que en la Región Metropolitana</w:t>
      </w:r>
      <w:r w:rsidR="008652FF" w:rsidRPr="00824AB0">
        <w:rPr>
          <w:lang w:val="es-ES"/>
        </w:rPr>
        <w:t xml:space="preserve"> </w:t>
      </w:r>
      <w:r w:rsidRPr="00824AB0">
        <w:rPr>
          <w:lang w:val="es-ES"/>
        </w:rPr>
        <w:t xml:space="preserve">hay comunas como Tiltil, </w:t>
      </w:r>
      <w:proofErr w:type="spellStart"/>
      <w:r w:rsidRPr="00824AB0">
        <w:rPr>
          <w:lang w:val="es-ES"/>
        </w:rPr>
        <w:t>Alhué</w:t>
      </w:r>
      <w:proofErr w:type="spellEnd"/>
      <w:r w:rsidRPr="00824AB0">
        <w:rPr>
          <w:lang w:val="es-ES"/>
        </w:rPr>
        <w:t xml:space="preserve"> o San José de Maipo, que son rurales, pequeñas, con pobreza y necesidad de profesionales, esto es, </w:t>
      </w:r>
      <w:r w:rsidR="00AA1D31">
        <w:rPr>
          <w:lang w:val="es-ES"/>
        </w:rPr>
        <w:t>en igual situación que</w:t>
      </w:r>
      <w:r w:rsidRPr="00824AB0">
        <w:rPr>
          <w:lang w:val="es-ES"/>
        </w:rPr>
        <w:t xml:space="preserve"> muchas comunas </w:t>
      </w:r>
      <w:r w:rsidR="00AA1D31">
        <w:rPr>
          <w:lang w:val="es-ES"/>
        </w:rPr>
        <w:t xml:space="preserve">de </w:t>
      </w:r>
      <w:r w:rsidRPr="00824AB0">
        <w:rPr>
          <w:lang w:val="es-ES"/>
        </w:rPr>
        <w:t xml:space="preserve">otras regiones. Finalmente y por </w:t>
      </w:r>
      <w:r w:rsidR="00492F1E" w:rsidRPr="00824AB0">
        <w:rPr>
          <w:lang w:val="es-ES"/>
        </w:rPr>
        <w:t xml:space="preserve">mayoría de votos, no se </w:t>
      </w:r>
      <w:r w:rsidR="00A51F47" w:rsidRPr="00824AB0">
        <w:rPr>
          <w:lang w:val="es-ES"/>
        </w:rPr>
        <w:t>excluyó</w:t>
      </w:r>
      <w:r w:rsidR="00492F1E" w:rsidRPr="00824AB0">
        <w:rPr>
          <w:lang w:val="es-ES"/>
        </w:rPr>
        <w:t xml:space="preserve"> ninguna comuna del país, considerando que </w:t>
      </w:r>
      <w:r w:rsidRPr="00824AB0">
        <w:rPr>
          <w:lang w:val="es-ES"/>
        </w:rPr>
        <w:t xml:space="preserve">sería el criterio de diseño del ranking y la línea de corte lo que finalmente focalizaría la entrega de cupos a </w:t>
      </w:r>
      <w:r w:rsidR="00492F1E" w:rsidRPr="00824AB0">
        <w:rPr>
          <w:lang w:val="es-ES"/>
        </w:rPr>
        <w:t>los municipios con</w:t>
      </w:r>
      <w:r w:rsidRPr="00824AB0">
        <w:rPr>
          <w:lang w:val="es-ES"/>
        </w:rPr>
        <w:t xml:space="preserve"> menores índices de desarrollo.</w:t>
      </w:r>
      <w:r w:rsidR="00AA1D31">
        <w:rPr>
          <w:lang w:val="es-ES"/>
        </w:rPr>
        <w:t xml:space="preserve"> Como hemos visto, ello no está ocurriendo.</w:t>
      </w:r>
    </w:p>
    <w:p w:rsidR="00BF0515" w:rsidRPr="00824AB0" w:rsidRDefault="00BF0515" w:rsidP="008652FF">
      <w:pPr>
        <w:spacing w:after="0" w:line="240" w:lineRule="auto"/>
        <w:ind w:left="360"/>
        <w:contextualSpacing/>
        <w:jc w:val="both"/>
        <w:rPr>
          <w:lang w:val="es-ES"/>
        </w:rPr>
      </w:pPr>
    </w:p>
    <w:p w:rsidR="00120C08" w:rsidRDefault="00BF0515" w:rsidP="00BF0515">
      <w:pPr>
        <w:numPr>
          <w:ilvl w:val="0"/>
          <w:numId w:val="12"/>
        </w:numPr>
        <w:spacing w:after="0" w:line="240" w:lineRule="auto"/>
        <w:ind w:left="360"/>
        <w:contextualSpacing/>
        <w:jc w:val="both"/>
        <w:rPr>
          <w:lang w:val="es-ES"/>
        </w:rPr>
      </w:pPr>
      <w:r>
        <w:rPr>
          <w:lang w:val="es-ES"/>
        </w:rPr>
        <w:t xml:space="preserve">Los indicadores que maneja la SUBDERE para medir el desarrollo de las comunas </w:t>
      </w:r>
      <w:r w:rsidR="00F47C80">
        <w:rPr>
          <w:lang w:val="es-ES"/>
        </w:rPr>
        <w:t>pueden presentar algunas vari</w:t>
      </w:r>
      <w:r>
        <w:rPr>
          <w:lang w:val="es-ES"/>
        </w:rPr>
        <w:t>a</w:t>
      </w:r>
      <w:r w:rsidR="00F47C80">
        <w:rPr>
          <w:lang w:val="es-ES"/>
        </w:rPr>
        <w:t>ciones</w:t>
      </w:r>
      <w:r>
        <w:rPr>
          <w:lang w:val="es-ES"/>
        </w:rPr>
        <w:t xml:space="preserve"> año a año. Ello ha generado entrada y salida de ciertas comunas de un año a otro, con la consecuente pérdida de continuidad de aquellas dentro del programa y la consiguiente pérdida del incentivo financiero suplementario a que teóricamente debería poder acceder un profesional por la continuidad en sus funciones (3 años consecutivos). Hoy, esto ha ocurrido en casos excepcionales, pero </w:t>
      </w:r>
      <w:r w:rsidR="00F47C80">
        <w:rPr>
          <w:lang w:val="es-ES"/>
        </w:rPr>
        <w:t>han</w:t>
      </w:r>
      <w:r w:rsidR="005D559D">
        <w:rPr>
          <w:lang w:val="es-ES"/>
        </w:rPr>
        <w:t xml:space="preserve"> sido excepcionales sólo </w:t>
      </w:r>
      <w:r>
        <w:rPr>
          <w:lang w:val="es-ES"/>
        </w:rPr>
        <w:t xml:space="preserve">porque el número de comunas elegibles ha aumentado fuertemente de un año a otro. Si las comunas elegibles fueran siempre un grupo relativamente pequeño, los casos de discontinuidad </w:t>
      </w:r>
      <w:r w:rsidR="00F47C80">
        <w:rPr>
          <w:lang w:val="es-ES"/>
        </w:rPr>
        <w:t xml:space="preserve">podrían </w:t>
      </w:r>
      <w:r>
        <w:rPr>
          <w:lang w:val="es-ES"/>
        </w:rPr>
        <w:t xml:space="preserve">ser más </w:t>
      </w:r>
      <w:r w:rsidR="005D559D">
        <w:rPr>
          <w:lang w:val="es-ES"/>
        </w:rPr>
        <w:t xml:space="preserve">(por las variaciones interanuales en los indicadores) </w:t>
      </w:r>
      <w:r>
        <w:rPr>
          <w:lang w:val="es-ES"/>
        </w:rPr>
        <w:t>y, asimismo, m</w:t>
      </w:r>
      <w:r w:rsidR="005D559D">
        <w:rPr>
          <w:lang w:val="es-ES"/>
        </w:rPr>
        <w:t xml:space="preserve">ayor sería </w:t>
      </w:r>
      <w:r>
        <w:rPr>
          <w:lang w:val="es-ES"/>
        </w:rPr>
        <w:t>la inaccesibilidad al incentivo suplementario.</w:t>
      </w:r>
    </w:p>
    <w:p w:rsidR="00BF0515" w:rsidRPr="00463A8F" w:rsidRDefault="00BF0515" w:rsidP="00BF0515">
      <w:pPr>
        <w:spacing w:after="0" w:line="240" w:lineRule="auto"/>
        <w:ind w:left="360"/>
        <w:contextualSpacing/>
        <w:jc w:val="both"/>
        <w:rPr>
          <w:lang w:val="es-ES"/>
        </w:rPr>
      </w:pPr>
    </w:p>
    <w:p w:rsidR="001112AE" w:rsidRDefault="001112AE" w:rsidP="00EE034C">
      <w:pPr>
        <w:numPr>
          <w:ilvl w:val="0"/>
          <w:numId w:val="12"/>
        </w:numPr>
        <w:spacing w:after="0" w:line="240" w:lineRule="auto"/>
        <w:ind w:left="360"/>
        <w:contextualSpacing/>
        <w:jc w:val="both"/>
        <w:rPr>
          <w:lang w:val="es-ES"/>
        </w:rPr>
      </w:pPr>
      <w:r>
        <w:rPr>
          <w:lang w:val="es-ES"/>
        </w:rPr>
        <w:t>El m</w:t>
      </w:r>
      <w:r w:rsidRPr="00463A8F">
        <w:rPr>
          <w:lang w:val="es-ES"/>
        </w:rPr>
        <w:t xml:space="preserve">onto del beneficio no está relacionado con la deuda universitaria </w:t>
      </w:r>
      <w:r>
        <w:rPr>
          <w:lang w:val="es-ES"/>
        </w:rPr>
        <w:t xml:space="preserve">real, sino con los montos anuales a pagar de acuerdo al </w:t>
      </w:r>
      <w:r w:rsidRPr="00463A8F">
        <w:rPr>
          <w:lang w:val="es-ES"/>
        </w:rPr>
        <w:t xml:space="preserve">sistema de repactaciones </w:t>
      </w:r>
      <w:r>
        <w:rPr>
          <w:lang w:val="es-ES"/>
        </w:rPr>
        <w:t>también anuales, los que se calculan como el 5% de los ingresos líquidos del año anterior</w:t>
      </w:r>
      <w:r w:rsidRPr="00463A8F">
        <w:rPr>
          <w:lang w:val="es-ES"/>
        </w:rPr>
        <w:t xml:space="preserve">. Eventualmente, la disminución de la deuda </w:t>
      </w:r>
      <w:r>
        <w:rPr>
          <w:lang w:val="es-ES"/>
        </w:rPr>
        <w:t xml:space="preserve">real total </w:t>
      </w:r>
      <w:r w:rsidRPr="00463A8F">
        <w:rPr>
          <w:lang w:val="es-ES"/>
        </w:rPr>
        <w:t>no resulta suficientemente significativa</w:t>
      </w:r>
      <w:r>
        <w:rPr>
          <w:lang w:val="es-ES"/>
        </w:rPr>
        <w:t>, máxime cuando es justamente en las comunas más pobres donde los ingresos líquidos de los profesionales son comparativamente bajos</w:t>
      </w:r>
      <w:r w:rsidRPr="00463A8F">
        <w:rPr>
          <w:lang w:val="es-ES"/>
        </w:rPr>
        <w:t>.</w:t>
      </w:r>
      <w:r w:rsidR="00AA1D31">
        <w:rPr>
          <w:lang w:val="es-ES"/>
        </w:rPr>
        <w:t xml:space="preserve"> Esto es que hay una suerte de incentivo perverso, ya que con esta modalidad de cálculo del beneficio, se desfavorece el atractivo de las comunas más extremamente rezagadas.</w:t>
      </w:r>
    </w:p>
    <w:p w:rsidR="001112AE" w:rsidRDefault="001112AE" w:rsidP="004B16CA">
      <w:pPr>
        <w:spacing w:after="0" w:line="240" w:lineRule="auto"/>
        <w:ind w:left="360"/>
        <w:contextualSpacing/>
        <w:jc w:val="both"/>
        <w:rPr>
          <w:lang w:val="es-ES"/>
        </w:rPr>
      </w:pPr>
    </w:p>
    <w:p w:rsidR="00BF2188" w:rsidRDefault="001112AE" w:rsidP="00BF2188">
      <w:pPr>
        <w:numPr>
          <w:ilvl w:val="0"/>
          <w:numId w:val="12"/>
        </w:numPr>
        <w:spacing w:after="0" w:line="240" w:lineRule="auto"/>
        <w:ind w:left="360"/>
        <w:contextualSpacing/>
        <w:jc w:val="both"/>
        <w:rPr>
          <w:lang w:val="es-ES"/>
        </w:rPr>
      </w:pPr>
      <w:r>
        <w:rPr>
          <w:lang w:val="es-ES"/>
        </w:rPr>
        <w:t>Uno de los fundament</w:t>
      </w:r>
      <w:r w:rsidR="00AA1D31">
        <w:rPr>
          <w:lang w:val="es-ES"/>
        </w:rPr>
        <w:t>os para la creación de esta ley –quizás el fundamental–,</w:t>
      </w:r>
      <w:r>
        <w:rPr>
          <w:lang w:val="es-ES"/>
        </w:rPr>
        <w:t xml:space="preserve"> fue </w:t>
      </w:r>
      <w:r w:rsidRPr="00AA1D31">
        <w:rPr>
          <w:i/>
          <w:lang w:val="es-ES"/>
        </w:rPr>
        <w:t>fomentar el desarrollo</w:t>
      </w:r>
      <w:r w:rsidR="00AA1D31">
        <w:rPr>
          <w:lang w:val="es-ES"/>
        </w:rPr>
        <w:t xml:space="preserve"> de las comunas más rezagadas</w:t>
      </w:r>
      <w:r>
        <w:rPr>
          <w:lang w:val="es-ES"/>
        </w:rPr>
        <w:t xml:space="preserve"> mediante la atr</w:t>
      </w:r>
      <w:r w:rsidR="00AA1D31">
        <w:rPr>
          <w:lang w:val="es-ES"/>
        </w:rPr>
        <w:t xml:space="preserve">acción de nuevos profesionales. </w:t>
      </w:r>
      <w:r>
        <w:rPr>
          <w:lang w:val="es-ES"/>
        </w:rPr>
        <w:t xml:space="preserve">Cuando, como hemos visto, esta atracción no está operando, poco es el aporte al desarrollo comunal que se puede esperar. Así lo manifiestan también los propios beneficiarios </w:t>
      </w:r>
      <w:r>
        <w:rPr>
          <w:lang w:val="es-ES"/>
        </w:rPr>
        <w:lastRenderedPageBreak/>
        <w:t>encuestados, quienes ante todo relevan</w:t>
      </w:r>
      <w:r w:rsidR="00FE27D1">
        <w:rPr>
          <w:lang w:val="es-ES"/>
        </w:rPr>
        <w:t xml:space="preserve"> positivamente</w:t>
      </w:r>
      <w:r>
        <w:rPr>
          <w:lang w:val="es-ES"/>
        </w:rPr>
        <w:t xml:space="preserve"> la mejora </w:t>
      </w:r>
      <w:r w:rsidR="00BF2188">
        <w:rPr>
          <w:lang w:val="es-ES"/>
        </w:rPr>
        <w:t xml:space="preserve">indirecta </w:t>
      </w:r>
      <w:r>
        <w:rPr>
          <w:lang w:val="es-ES"/>
        </w:rPr>
        <w:t>de sus remuneraciones</w:t>
      </w:r>
      <w:r w:rsidR="00BF2188">
        <w:rPr>
          <w:lang w:val="es-ES"/>
        </w:rPr>
        <w:t xml:space="preserve"> (aporte al individuo).</w:t>
      </w:r>
    </w:p>
    <w:p w:rsidR="001112AE" w:rsidRDefault="00BF2188" w:rsidP="00BF2188">
      <w:pPr>
        <w:spacing w:after="0" w:line="240" w:lineRule="auto"/>
        <w:contextualSpacing/>
        <w:jc w:val="both"/>
        <w:rPr>
          <w:lang w:val="es-ES"/>
        </w:rPr>
      </w:pPr>
      <w:r>
        <w:rPr>
          <w:lang w:val="es-ES"/>
        </w:rPr>
        <w:t xml:space="preserve"> </w:t>
      </w:r>
    </w:p>
    <w:p w:rsidR="001112AE" w:rsidRDefault="001112AE" w:rsidP="00EE034C">
      <w:pPr>
        <w:numPr>
          <w:ilvl w:val="0"/>
          <w:numId w:val="12"/>
        </w:numPr>
        <w:spacing w:after="0" w:line="240" w:lineRule="auto"/>
        <w:ind w:left="360"/>
        <w:jc w:val="both"/>
        <w:rPr>
          <w:lang w:val="es-ES"/>
        </w:rPr>
      </w:pPr>
      <w:r w:rsidRPr="005F278E">
        <w:rPr>
          <w:lang w:val="es-ES"/>
        </w:rPr>
        <w:t>No hay un criterio de prior</w:t>
      </w:r>
      <w:r w:rsidR="00BF2188">
        <w:rPr>
          <w:lang w:val="es-ES"/>
        </w:rPr>
        <w:t>ización de áreas disciplinarias</w:t>
      </w:r>
      <w:r w:rsidRPr="005F278E">
        <w:rPr>
          <w:lang w:val="es-ES"/>
        </w:rPr>
        <w:t xml:space="preserve"> asoc</w:t>
      </w:r>
      <w:r>
        <w:rPr>
          <w:lang w:val="es-ES"/>
        </w:rPr>
        <w:t>iadas, por ejemplo,</w:t>
      </w:r>
      <w:r w:rsidRPr="005F278E">
        <w:rPr>
          <w:lang w:val="es-ES"/>
        </w:rPr>
        <w:t xml:space="preserve"> a tipos de</w:t>
      </w:r>
      <w:r w:rsidRPr="005E5DE8">
        <w:rPr>
          <w:lang w:val="es-ES"/>
        </w:rPr>
        <w:t xml:space="preserve"> territorio</w:t>
      </w:r>
      <w:r>
        <w:rPr>
          <w:lang w:val="es-ES"/>
        </w:rPr>
        <w:t xml:space="preserve"> o a déficits específicos por municipio o región</w:t>
      </w:r>
      <w:r w:rsidRPr="005E5DE8">
        <w:rPr>
          <w:lang w:val="es-ES"/>
        </w:rPr>
        <w:t xml:space="preserve">. </w:t>
      </w:r>
      <w:r>
        <w:rPr>
          <w:lang w:val="es-ES"/>
        </w:rPr>
        <w:t>Esto es que no está claro qué se está entendiendo por desarrollo o qué tipo de asistencia profesional necesita la comuna y su municipio u otras instituciones vinculadas.</w:t>
      </w:r>
    </w:p>
    <w:p w:rsidR="001112AE" w:rsidRDefault="001112AE" w:rsidP="004B16CA">
      <w:pPr>
        <w:spacing w:after="0" w:line="240" w:lineRule="auto"/>
        <w:ind w:left="348"/>
        <w:jc w:val="both"/>
        <w:rPr>
          <w:lang w:val="es-ES"/>
        </w:rPr>
      </w:pPr>
    </w:p>
    <w:p w:rsidR="001112AE" w:rsidRDefault="001112AE" w:rsidP="004B16CA">
      <w:pPr>
        <w:spacing w:after="0" w:line="240" w:lineRule="auto"/>
        <w:ind w:left="348" w:firstLine="12"/>
        <w:jc w:val="both"/>
        <w:rPr>
          <w:lang w:val="es-ES"/>
        </w:rPr>
      </w:pPr>
      <w:r>
        <w:rPr>
          <w:lang w:val="es-ES"/>
        </w:rPr>
        <w:t>Los municipios podrían preocuparse de aprovechar el o los cupos de los que pudieran disponer en la región, pero tampoco lo hacen salvo raros casos en que los alcaldes muestran algún interés. Pero mayoritariamente son los profesionales los que buscan obtener el beneficio y par</w:t>
      </w:r>
      <w:r w:rsidR="00FE27D1">
        <w:rPr>
          <w:lang w:val="es-ES"/>
        </w:rPr>
        <w:t>a ellos el municipio</w:t>
      </w:r>
      <w:r>
        <w:rPr>
          <w:lang w:val="es-ES"/>
        </w:rPr>
        <w:t xml:space="preserve"> sólo cumple con el requisito administrativo de certificar la  contratación.</w:t>
      </w:r>
      <w:r w:rsidR="00FE27D1">
        <w:rPr>
          <w:lang w:val="es-ES"/>
        </w:rPr>
        <w:t xml:space="preserve"> No hay un rol municipal, un rol proactivo que potencie la implementación de la Ley. </w:t>
      </w:r>
    </w:p>
    <w:p w:rsidR="00FE27D1" w:rsidRDefault="00FE27D1" w:rsidP="004B16CA">
      <w:pPr>
        <w:spacing w:after="0" w:line="240" w:lineRule="auto"/>
        <w:ind w:left="348" w:firstLine="12"/>
        <w:jc w:val="both"/>
        <w:rPr>
          <w:lang w:val="es-ES"/>
        </w:rPr>
      </w:pPr>
    </w:p>
    <w:p w:rsidR="001112AE" w:rsidRDefault="001112AE" w:rsidP="00EE034C">
      <w:pPr>
        <w:pStyle w:val="Prrafodelista"/>
        <w:numPr>
          <w:ilvl w:val="0"/>
          <w:numId w:val="12"/>
        </w:numPr>
        <w:spacing w:after="0" w:line="240" w:lineRule="auto"/>
        <w:ind w:left="360"/>
        <w:contextualSpacing w:val="0"/>
        <w:jc w:val="both"/>
        <w:rPr>
          <w:lang w:val="es-ES"/>
        </w:rPr>
      </w:pPr>
      <w:r>
        <w:rPr>
          <w:lang w:val="es-ES"/>
        </w:rPr>
        <w:t>A partir de</w:t>
      </w:r>
      <w:r w:rsidRPr="005F278E">
        <w:rPr>
          <w:lang w:val="es-ES"/>
        </w:rPr>
        <w:t xml:space="preserve"> </w:t>
      </w:r>
      <w:r>
        <w:rPr>
          <w:lang w:val="es-ES"/>
        </w:rPr>
        <w:t xml:space="preserve">esto y de varios otros puntos planteados en esta sección, se hace bastante evidente que no ha habido ningún tipo de diagnóstico sobre los problemas que aquejan </w:t>
      </w:r>
      <w:r w:rsidR="00BF2188">
        <w:rPr>
          <w:lang w:val="es-ES"/>
        </w:rPr>
        <w:t xml:space="preserve">a las comunas más rezagadas </w:t>
      </w:r>
      <w:r>
        <w:rPr>
          <w:lang w:val="es-ES"/>
        </w:rPr>
        <w:t xml:space="preserve">y </w:t>
      </w:r>
      <w:r w:rsidR="00BF2188">
        <w:rPr>
          <w:lang w:val="es-ES"/>
        </w:rPr>
        <w:t>sus</w:t>
      </w:r>
      <w:r>
        <w:rPr>
          <w:lang w:val="es-ES"/>
        </w:rPr>
        <w:t xml:space="preserve"> necesidades técnico-profesionales (en términos de cantidad, área disciplinaria y calificación), más allá de las estadísticas generales que maneja SUBDERE para formular el ranking de “menor desarrollo”. </w:t>
      </w:r>
      <w:r w:rsidRPr="005F278E">
        <w:rPr>
          <w:lang w:val="es-ES"/>
        </w:rPr>
        <w:t xml:space="preserve">Tampoco las </w:t>
      </w:r>
      <w:r>
        <w:rPr>
          <w:lang w:val="es-ES"/>
        </w:rPr>
        <w:t>regiones (Intendencias) han definido criterios para esto. Poco entonces se puede esperar impacto en el desarrollo de los territorios comunales, si no hay una relación entre requerimientos específicos y tipo de apoyo.</w:t>
      </w:r>
    </w:p>
    <w:p w:rsidR="007E66D8" w:rsidRDefault="007E66D8" w:rsidP="007E66D8">
      <w:pPr>
        <w:pStyle w:val="Prrafodelista"/>
        <w:spacing w:after="0" w:line="240" w:lineRule="auto"/>
        <w:ind w:left="360"/>
        <w:contextualSpacing w:val="0"/>
        <w:jc w:val="both"/>
        <w:rPr>
          <w:lang w:val="es-ES"/>
        </w:rPr>
      </w:pPr>
    </w:p>
    <w:p w:rsidR="001112AE" w:rsidRPr="009B6D95" w:rsidRDefault="001112AE" w:rsidP="009B6D95">
      <w:pPr>
        <w:pStyle w:val="Ttulo2"/>
      </w:pPr>
      <w:bookmarkStart w:id="43" w:name="_Toc341866744"/>
      <w:r w:rsidRPr="009B6D95">
        <w:t>Sobre la operatoria de la ley</w:t>
      </w:r>
      <w:bookmarkEnd w:id="43"/>
    </w:p>
    <w:p w:rsidR="001112AE" w:rsidRDefault="001112AE" w:rsidP="001112AE">
      <w:pPr>
        <w:spacing w:after="0" w:line="240" w:lineRule="auto"/>
        <w:ind w:left="720"/>
        <w:contextualSpacing/>
        <w:jc w:val="both"/>
        <w:rPr>
          <w:lang w:val="es-ES"/>
        </w:rPr>
      </w:pPr>
    </w:p>
    <w:p w:rsidR="001112AE" w:rsidRDefault="001112AE" w:rsidP="00EE034C">
      <w:pPr>
        <w:numPr>
          <w:ilvl w:val="0"/>
          <w:numId w:val="12"/>
        </w:numPr>
        <w:spacing w:after="0" w:line="240" w:lineRule="auto"/>
        <w:ind w:left="360"/>
        <w:contextualSpacing/>
        <w:jc w:val="both"/>
        <w:rPr>
          <w:lang w:val="es-ES"/>
        </w:rPr>
      </w:pPr>
      <w:r>
        <w:rPr>
          <w:lang w:val="es-ES"/>
        </w:rPr>
        <w:t xml:space="preserve">No hay un </w:t>
      </w:r>
      <w:r w:rsidRPr="00AE74B6">
        <w:rPr>
          <w:b/>
          <w:lang w:val="es-ES"/>
        </w:rPr>
        <w:t>responsable central de la ley</w:t>
      </w:r>
      <w:r>
        <w:rPr>
          <w:lang w:val="es-ES"/>
        </w:rPr>
        <w:t xml:space="preserve"> y los protocolos de operatoria han demostrado ser insuficientes, ya que algunos postulantes han debido recurrir directamente a la Tesorería, a la SUBDERE, o al administrador financiero de su crédito o la Comisión Ingresa, en circunstancia que en términos formales su único interlocutor debería ser la Intendencia. Ahora bien, esto sobre todo se ha dado en estos primeros años y lo más frecuente ha sido que los beneficiarios no encuentran mayores dificultades.</w:t>
      </w:r>
    </w:p>
    <w:p w:rsidR="001112AE" w:rsidRDefault="001112AE" w:rsidP="004B16CA">
      <w:pPr>
        <w:spacing w:after="0" w:line="240" w:lineRule="auto"/>
        <w:ind w:left="360"/>
        <w:contextualSpacing/>
        <w:jc w:val="both"/>
        <w:rPr>
          <w:lang w:val="es-ES"/>
        </w:rPr>
      </w:pPr>
    </w:p>
    <w:p w:rsidR="001112AE" w:rsidRDefault="001112AE" w:rsidP="004B16CA">
      <w:pPr>
        <w:spacing w:after="0" w:line="240" w:lineRule="auto"/>
        <w:ind w:left="360"/>
        <w:contextualSpacing/>
        <w:jc w:val="both"/>
        <w:rPr>
          <w:lang w:val="es-ES"/>
        </w:rPr>
      </w:pPr>
      <w:r>
        <w:rPr>
          <w:lang w:val="es-ES"/>
        </w:rPr>
        <w:t>Pero no es la única dificultad que acarrea la falta de un responsable. En la práctica, todas las instituciones han asumido su rol con un alcance más bien administrativo pero no decisorio. Ello significa, por ejemplo, que nadie controla el límite de beneficiados o que el número de comunas beneficiarias establecidas por decreto anual no esté definido sobre un criterio comprensible.</w:t>
      </w:r>
    </w:p>
    <w:p w:rsidR="001112AE" w:rsidRDefault="001112AE" w:rsidP="004B16CA">
      <w:pPr>
        <w:spacing w:after="0" w:line="240" w:lineRule="auto"/>
        <w:ind w:left="360"/>
        <w:contextualSpacing/>
        <w:jc w:val="both"/>
        <w:rPr>
          <w:lang w:val="es-ES"/>
        </w:rPr>
      </w:pPr>
    </w:p>
    <w:p w:rsidR="001112AE" w:rsidRDefault="001112AE" w:rsidP="004B16CA">
      <w:pPr>
        <w:spacing w:after="0" w:line="240" w:lineRule="auto"/>
        <w:ind w:left="360"/>
        <w:contextualSpacing/>
        <w:jc w:val="both"/>
        <w:rPr>
          <w:lang w:val="es-ES"/>
        </w:rPr>
      </w:pPr>
      <w:r>
        <w:rPr>
          <w:lang w:val="es-ES"/>
        </w:rPr>
        <w:t>A la vez, no hay quien interprete la ley (aunque en rigor éste es un rol que sólo corresponde a la Contraloría General de la República) o se encargue de aclarar los vacíos en ella o sus procedimientos.</w:t>
      </w:r>
    </w:p>
    <w:p w:rsidR="00CB4654" w:rsidRDefault="00CB4654" w:rsidP="004B16CA">
      <w:pPr>
        <w:spacing w:after="0" w:line="240" w:lineRule="auto"/>
        <w:ind w:left="360"/>
        <w:contextualSpacing/>
        <w:jc w:val="both"/>
        <w:rPr>
          <w:lang w:val="es-ES"/>
        </w:rPr>
      </w:pPr>
    </w:p>
    <w:p w:rsidR="00CB4654" w:rsidRDefault="00CB4654" w:rsidP="004B16CA">
      <w:pPr>
        <w:spacing w:after="0" w:line="240" w:lineRule="auto"/>
        <w:ind w:left="360"/>
        <w:contextualSpacing/>
        <w:jc w:val="both"/>
        <w:rPr>
          <w:lang w:val="es-ES"/>
        </w:rPr>
      </w:pPr>
      <w:r>
        <w:rPr>
          <w:lang w:val="es-ES"/>
        </w:rPr>
        <w:t>Por último, no hay una institución que lleve registro y seguimiento de los beneficiarios de la Ley a nivel nacional. Si bien el procedimiento sugerido a las intendencias por la SUBDERE, establece que éstas deben informarle cuatrimestralmente sobre los beneficios entregados, esto no siempre se cumple y, además, la SUBDERE no tiene un sistema de procesamiento de la información recibida por esta vía. Es decir, se trata de un trámite completamente inútil.</w:t>
      </w:r>
    </w:p>
    <w:p w:rsidR="001112AE" w:rsidRDefault="001112AE" w:rsidP="004B16CA">
      <w:pPr>
        <w:spacing w:after="0" w:line="240" w:lineRule="auto"/>
        <w:ind w:left="360"/>
        <w:contextualSpacing/>
        <w:jc w:val="both"/>
        <w:rPr>
          <w:lang w:val="es-ES"/>
        </w:rPr>
      </w:pPr>
    </w:p>
    <w:p w:rsidR="001112AE" w:rsidRDefault="001112AE" w:rsidP="00EE034C">
      <w:pPr>
        <w:numPr>
          <w:ilvl w:val="0"/>
          <w:numId w:val="12"/>
        </w:numPr>
        <w:spacing w:after="0" w:line="240" w:lineRule="auto"/>
        <w:ind w:left="360"/>
        <w:contextualSpacing/>
        <w:jc w:val="both"/>
        <w:rPr>
          <w:lang w:val="es-ES"/>
        </w:rPr>
      </w:pPr>
      <w:r w:rsidRPr="00AE74B6">
        <w:rPr>
          <w:lang w:val="es-ES"/>
        </w:rPr>
        <w:lastRenderedPageBreak/>
        <w:t>Indican los encargados regionales, así como el encargado nacional (SUBDERE) que hay</w:t>
      </w:r>
      <w:r w:rsidRPr="00463A8F">
        <w:rPr>
          <w:lang w:val="es-ES"/>
        </w:rPr>
        <w:t xml:space="preserve"> </w:t>
      </w:r>
      <w:r w:rsidRPr="00AE74B6">
        <w:rPr>
          <w:b/>
          <w:lang w:val="es-ES"/>
        </w:rPr>
        <w:t>poca comunicación y coordinación entre las instituciones</w:t>
      </w:r>
      <w:r w:rsidR="007E66D8">
        <w:rPr>
          <w:lang w:val="es-ES"/>
        </w:rPr>
        <w:t xml:space="preserve"> intervini</w:t>
      </w:r>
      <w:r w:rsidRPr="00463A8F">
        <w:rPr>
          <w:lang w:val="es-ES"/>
        </w:rPr>
        <w:t>entes en el proceso de postulación. Esto fue más marcado</w:t>
      </w:r>
      <w:r>
        <w:rPr>
          <w:lang w:val="es-ES"/>
        </w:rPr>
        <w:t xml:space="preserve"> en el primer año de aplicación, por falta de información sobre los roles y falta de claridad sobre los interlocutores en cada institución. En el segundo año, aunque los canales formales de comunicación y coordinación no han mejorado sustancialmente, sí </w:t>
      </w:r>
      <w:r w:rsidR="007E66D8">
        <w:rPr>
          <w:lang w:val="es-ES"/>
        </w:rPr>
        <w:t>se han instalado</w:t>
      </w:r>
      <w:r>
        <w:rPr>
          <w:lang w:val="es-ES"/>
        </w:rPr>
        <w:t xml:space="preserve"> algunos procedimientos y los representantes institucionales han debido </w:t>
      </w:r>
      <w:r w:rsidR="00274778">
        <w:rPr>
          <w:lang w:val="es-ES"/>
        </w:rPr>
        <w:t xml:space="preserve">articularse </w:t>
      </w:r>
      <w:r>
        <w:rPr>
          <w:lang w:val="es-ES"/>
        </w:rPr>
        <w:t>por fuerza, por lo que hay vías informales de comunicación que facilitan las coordinaciones. Además, han aparecido ciertas comunicaciones entre los encargados regionales, los que se asisten en la resolución de problemas. Hay que consignar que los encargados regionales (ni otro actor) no recibieron ningún tipo de capacitación para la aplicación de esta ley, según ellos mismo plantean.</w:t>
      </w:r>
    </w:p>
    <w:p w:rsidR="001112AE" w:rsidRDefault="001112AE" w:rsidP="004B16CA">
      <w:pPr>
        <w:spacing w:after="0" w:line="240" w:lineRule="auto"/>
        <w:contextualSpacing/>
        <w:jc w:val="both"/>
        <w:rPr>
          <w:lang w:val="es-ES"/>
        </w:rPr>
      </w:pPr>
    </w:p>
    <w:p w:rsidR="001112AE" w:rsidRDefault="001112AE" w:rsidP="004B16CA">
      <w:pPr>
        <w:spacing w:after="0" w:line="240" w:lineRule="auto"/>
        <w:ind w:left="348"/>
        <w:contextualSpacing/>
        <w:jc w:val="both"/>
        <w:rPr>
          <w:lang w:val="es-ES"/>
        </w:rPr>
      </w:pPr>
      <w:r>
        <w:rPr>
          <w:lang w:val="es-ES"/>
        </w:rPr>
        <w:t>Sin perjuicio de lo anterior, los procesos se han mejorado sobre la marcha y hoy el procedimiento de postulación y obtención del beneficio resulta sencillo en la gran mayoría de los casos. El mayor escollo se encuentra en algunos administradores financieros, pero éstos poco a poco se han ido adaptando y han comprendido el proceso. Aún debe conciliarse de mejor forma los plazos del proceso anual de repactación de la deuda con los plazos de la postulación al beneficio de la ley Nº 20.330.</w:t>
      </w:r>
    </w:p>
    <w:p w:rsidR="001112AE" w:rsidRDefault="001112AE" w:rsidP="004B16CA">
      <w:pPr>
        <w:spacing w:after="0" w:line="240" w:lineRule="auto"/>
        <w:ind w:left="360"/>
        <w:contextualSpacing/>
        <w:jc w:val="both"/>
        <w:rPr>
          <w:lang w:val="es-ES"/>
        </w:rPr>
      </w:pPr>
    </w:p>
    <w:p w:rsidR="001112AE" w:rsidRDefault="001112AE" w:rsidP="004B16CA">
      <w:pPr>
        <w:spacing w:after="0" w:line="240" w:lineRule="auto"/>
        <w:ind w:left="360"/>
        <w:contextualSpacing/>
        <w:jc w:val="both"/>
        <w:rPr>
          <w:lang w:val="es-ES"/>
        </w:rPr>
      </w:pPr>
      <w:r>
        <w:rPr>
          <w:lang w:val="es-ES"/>
        </w:rPr>
        <w:t xml:space="preserve">Donde hay una clara debilidad de comunicación y coordinación es en la participación de </w:t>
      </w:r>
      <w:r w:rsidRPr="00AE74B6">
        <w:rPr>
          <w:b/>
          <w:lang w:val="es-ES"/>
        </w:rPr>
        <w:t xml:space="preserve">los municipios </w:t>
      </w:r>
      <w:r w:rsidRPr="007E66D8">
        <w:rPr>
          <w:lang w:val="es-ES"/>
        </w:rPr>
        <w:t>en</w:t>
      </w:r>
      <w:r>
        <w:rPr>
          <w:lang w:val="es-ES"/>
        </w:rPr>
        <w:t xml:space="preserve"> los flujos de información y de procedimientos para la aplicación de la ley. Como se ha dicho, el beneficio ha sido entregado por solicitud directa de los beneficiarios, a los que el municipio (Alcaldía, SECPLAN, Departamento de Personal u otra unidad) ha simplemente informado, pero no apoyado explícitamente más allá de cumplir con entregar el certificado de desempeño que también es solicitado por el postulante.</w:t>
      </w:r>
    </w:p>
    <w:p w:rsidR="001112AE" w:rsidRDefault="001112AE" w:rsidP="004B16CA">
      <w:pPr>
        <w:spacing w:after="0" w:line="240" w:lineRule="auto"/>
        <w:ind w:left="360"/>
        <w:contextualSpacing/>
        <w:jc w:val="both"/>
        <w:rPr>
          <w:lang w:val="es-ES"/>
        </w:rPr>
      </w:pPr>
    </w:p>
    <w:p w:rsidR="001112AE" w:rsidRPr="00AE74B6" w:rsidRDefault="001112AE" w:rsidP="004B16CA">
      <w:pPr>
        <w:spacing w:after="0" w:line="240" w:lineRule="auto"/>
        <w:ind w:left="360"/>
        <w:contextualSpacing/>
        <w:jc w:val="both"/>
        <w:rPr>
          <w:lang w:val="es-ES"/>
        </w:rPr>
      </w:pPr>
      <w:r>
        <w:rPr>
          <w:lang w:val="es-ES"/>
        </w:rPr>
        <w:t>Por otro lado, s</w:t>
      </w:r>
      <w:r w:rsidRPr="00463A8F">
        <w:rPr>
          <w:lang w:val="es-ES"/>
        </w:rPr>
        <w:t xml:space="preserve">egún arroja la encuesta a los beneficiarios, en los municipios no hay procedimientos formales ni mucho menos estandarizados </w:t>
      </w:r>
      <w:r>
        <w:rPr>
          <w:lang w:val="es-ES"/>
        </w:rPr>
        <w:t>para seleccionar y priorizar a sus</w:t>
      </w:r>
      <w:r w:rsidRPr="00463A8F">
        <w:rPr>
          <w:lang w:val="es-ES"/>
        </w:rPr>
        <w:t xml:space="preserve"> postulantes. Esto podría atentar contra una competencia limpia y por mérito entre los potenciales candidatos, en el caso que hubiera excedente de éstos en relación con los cupos regionales.</w:t>
      </w:r>
    </w:p>
    <w:p w:rsidR="001112AE" w:rsidRPr="00BE58DE" w:rsidRDefault="001112AE" w:rsidP="004B16CA">
      <w:pPr>
        <w:spacing w:after="0" w:line="240" w:lineRule="auto"/>
        <w:contextualSpacing/>
        <w:jc w:val="both"/>
        <w:rPr>
          <w:lang w:val="es-ES"/>
        </w:rPr>
      </w:pPr>
    </w:p>
    <w:p w:rsidR="001112AE" w:rsidRDefault="001112AE" w:rsidP="00EE034C">
      <w:pPr>
        <w:numPr>
          <w:ilvl w:val="0"/>
          <w:numId w:val="12"/>
        </w:numPr>
        <w:spacing w:after="0" w:line="240" w:lineRule="auto"/>
        <w:ind w:left="360"/>
        <w:contextualSpacing/>
        <w:jc w:val="both"/>
        <w:rPr>
          <w:lang w:val="es-ES"/>
        </w:rPr>
      </w:pPr>
      <w:r>
        <w:rPr>
          <w:lang w:val="es-ES"/>
        </w:rPr>
        <w:t xml:space="preserve">Los encargados regionales, así como gran parte de los beneficiarios encuestados alegan </w:t>
      </w:r>
      <w:r w:rsidRPr="00770C21">
        <w:rPr>
          <w:b/>
          <w:lang w:val="es-ES"/>
        </w:rPr>
        <w:t>escasez de cupos</w:t>
      </w:r>
      <w:r>
        <w:rPr>
          <w:lang w:val="es-ES"/>
        </w:rPr>
        <w:t xml:space="preserve"> para acceder al beneficio. Con todo, los encargados ni mucho menos los beneficiarios conocen los criterios aplicados para establecer el ranking de comunas de menor desarrollo. Asimismo, tratándose de un virtual subsidio, era esperable que los cupos se consideren escasos (“en pedir no hay engaño”).</w:t>
      </w:r>
      <w:r w:rsidR="00D926FE">
        <w:rPr>
          <w:lang w:val="es-ES"/>
        </w:rPr>
        <w:t xml:space="preserve"> Aunque se debe señalar qu</w:t>
      </w:r>
      <w:r w:rsidR="007E66D8">
        <w:rPr>
          <w:lang w:val="es-ES"/>
        </w:rPr>
        <w:t>e en la mayoría de las regiones</w:t>
      </w:r>
      <w:r w:rsidR="00D926FE">
        <w:rPr>
          <w:lang w:val="es-ES"/>
        </w:rPr>
        <w:t xml:space="preserve"> existe más oferta que demanda. </w:t>
      </w:r>
    </w:p>
    <w:p w:rsidR="001112AE" w:rsidRDefault="001112AE" w:rsidP="004B16CA">
      <w:pPr>
        <w:spacing w:after="0" w:line="240" w:lineRule="auto"/>
        <w:ind w:left="360"/>
        <w:contextualSpacing/>
        <w:jc w:val="both"/>
        <w:rPr>
          <w:lang w:val="es-ES"/>
        </w:rPr>
      </w:pPr>
    </w:p>
    <w:p w:rsidR="001112AE" w:rsidRPr="003365AA" w:rsidRDefault="001112AE" w:rsidP="00EE034C">
      <w:pPr>
        <w:numPr>
          <w:ilvl w:val="0"/>
          <w:numId w:val="12"/>
        </w:numPr>
        <w:spacing w:after="0" w:line="240" w:lineRule="auto"/>
        <w:ind w:left="360"/>
        <w:jc w:val="both"/>
        <w:rPr>
          <w:lang w:val="es-ES"/>
        </w:rPr>
      </w:pPr>
      <w:r>
        <w:rPr>
          <w:lang w:val="es-ES"/>
        </w:rPr>
        <w:t>No obstante lo anterior, l</w:t>
      </w:r>
      <w:r w:rsidRPr="003365AA">
        <w:rPr>
          <w:lang w:val="es-ES"/>
        </w:rPr>
        <w:t>a entrega del beneficio se va acumulando o el número de cupos está derechamente pasado a llevar</w:t>
      </w:r>
      <w:r>
        <w:rPr>
          <w:lang w:val="es-ES"/>
        </w:rPr>
        <w:t xml:space="preserve"> (asumimos que el problema es la desinformación y la ausencia de un responsable único que defina los criterios)</w:t>
      </w:r>
      <w:r w:rsidRPr="003365AA">
        <w:rPr>
          <w:lang w:val="es-ES"/>
        </w:rPr>
        <w:t>, por lo que el número anual de cupos sólo está operando a veces.</w:t>
      </w:r>
    </w:p>
    <w:p w:rsidR="001112AE" w:rsidRDefault="001112AE" w:rsidP="004B16CA">
      <w:pPr>
        <w:spacing w:after="0" w:line="240" w:lineRule="auto"/>
        <w:contextualSpacing/>
        <w:jc w:val="both"/>
        <w:rPr>
          <w:lang w:val="es-ES"/>
        </w:rPr>
      </w:pPr>
    </w:p>
    <w:p w:rsidR="001112AE" w:rsidRDefault="001112AE" w:rsidP="00EE034C">
      <w:pPr>
        <w:numPr>
          <w:ilvl w:val="0"/>
          <w:numId w:val="12"/>
        </w:numPr>
        <w:spacing w:after="0" w:line="240" w:lineRule="auto"/>
        <w:ind w:left="360"/>
        <w:jc w:val="both"/>
        <w:rPr>
          <w:lang w:val="es-ES"/>
        </w:rPr>
      </w:pPr>
      <w:r>
        <w:rPr>
          <w:lang w:val="es-ES"/>
        </w:rPr>
        <w:t>Los encargados regionales acusan que n</w:t>
      </w:r>
      <w:r w:rsidRPr="003A20A5">
        <w:rPr>
          <w:lang w:val="es-ES"/>
        </w:rPr>
        <w:t xml:space="preserve">o existe un seguimiento </w:t>
      </w:r>
      <w:r>
        <w:rPr>
          <w:lang w:val="es-ES"/>
        </w:rPr>
        <w:t>de los beneficiarios, por lo que, salvo lo que entrega esta evaluación, no hay información sobre el “retorno” del subsidio como beneficio para el Estado, por ejemplo en cuanto a permanencia en los cargos o en las comunas y localidades.</w:t>
      </w:r>
    </w:p>
    <w:p w:rsidR="001112AE" w:rsidRDefault="001112AE" w:rsidP="004B16CA">
      <w:pPr>
        <w:spacing w:after="0" w:line="240" w:lineRule="auto"/>
        <w:ind w:left="360"/>
        <w:jc w:val="both"/>
        <w:rPr>
          <w:lang w:val="es-ES"/>
        </w:rPr>
      </w:pPr>
    </w:p>
    <w:p w:rsidR="001112AE" w:rsidRPr="003A20A5" w:rsidRDefault="001112AE" w:rsidP="004B16CA">
      <w:pPr>
        <w:spacing w:after="0" w:line="240" w:lineRule="auto"/>
        <w:ind w:left="360"/>
        <w:jc w:val="both"/>
        <w:rPr>
          <w:lang w:val="es-ES"/>
        </w:rPr>
      </w:pPr>
      <w:r>
        <w:rPr>
          <w:lang w:val="es-ES"/>
        </w:rPr>
        <w:t>Lo anterior, junto con la ausencia de un responsable que coordine centralizadamente la operatoria de la ley, afecta a la calidad de la información sobre cobertura. La única información consolidada a nivel nacional de que se dispone hoy es la de Tesorería, pero ella sólo se refiere al proceso contable de la ley.</w:t>
      </w:r>
    </w:p>
    <w:p w:rsidR="001112AE" w:rsidRDefault="001112AE" w:rsidP="004B16CA">
      <w:pPr>
        <w:spacing w:after="0" w:line="240" w:lineRule="auto"/>
        <w:jc w:val="both"/>
        <w:rPr>
          <w:lang w:val="es-ES"/>
        </w:rPr>
      </w:pPr>
    </w:p>
    <w:p w:rsidR="001112AE" w:rsidRPr="00463A8F" w:rsidRDefault="001112AE" w:rsidP="00EE034C">
      <w:pPr>
        <w:numPr>
          <w:ilvl w:val="0"/>
          <w:numId w:val="12"/>
        </w:numPr>
        <w:spacing w:after="0" w:line="240" w:lineRule="auto"/>
        <w:ind w:left="360"/>
        <w:contextualSpacing/>
        <w:jc w:val="both"/>
        <w:rPr>
          <w:lang w:val="es-ES"/>
        </w:rPr>
      </w:pPr>
      <w:r>
        <w:rPr>
          <w:lang w:val="es-ES"/>
        </w:rPr>
        <w:t>Hasta la fecha ha faltado difusión del beneficio, según indican entrevistados y encuestados. Esto genera o refuerza varios de los problemas detectados en la operación de la ley (falta de postulantes, falta de participación de los municipios, ausencia de criterios de selección de postulantes al interior de los municipios, ausencia casi total de instituciones privadas inscritas en el registro de SUBDERE, entre otros).</w:t>
      </w:r>
    </w:p>
    <w:p w:rsidR="001112AE" w:rsidRDefault="001112AE" w:rsidP="004B16CA">
      <w:pPr>
        <w:spacing w:after="0" w:line="240" w:lineRule="auto"/>
        <w:contextualSpacing/>
        <w:jc w:val="both"/>
        <w:rPr>
          <w:b/>
          <w:lang w:val="es-ES"/>
        </w:rPr>
      </w:pPr>
    </w:p>
    <w:p w:rsidR="001112AE" w:rsidRDefault="001112AE" w:rsidP="00EE034C">
      <w:pPr>
        <w:numPr>
          <w:ilvl w:val="0"/>
          <w:numId w:val="12"/>
        </w:numPr>
        <w:spacing w:after="0" w:line="240" w:lineRule="auto"/>
        <w:ind w:left="360"/>
        <w:contextualSpacing/>
        <w:jc w:val="both"/>
        <w:rPr>
          <w:lang w:val="es-ES"/>
        </w:rPr>
      </w:pPr>
      <w:r>
        <w:rPr>
          <w:lang w:val="es-ES"/>
        </w:rPr>
        <w:t xml:space="preserve">Positivo resulta el que </w:t>
      </w:r>
      <w:r w:rsidRPr="00463A8F">
        <w:rPr>
          <w:lang w:val="es-ES"/>
        </w:rPr>
        <w:t xml:space="preserve">los cupos </w:t>
      </w:r>
      <w:r>
        <w:rPr>
          <w:lang w:val="es-ES"/>
        </w:rPr>
        <w:t xml:space="preserve">se asignen </w:t>
      </w:r>
      <w:r w:rsidRPr="00463A8F">
        <w:rPr>
          <w:lang w:val="es-ES"/>
        </w:rPr>
        <w:t>a la región y no a cada comuna (decreto SUBDERE)</w:t>
      </w:r>
      <w:r>
        <w:rPr>
          <w:lang w:val="es-ES"/>
        </w:rPr>
        <w:t>. Esto</w:t>
      </w:r>
      <w:r w:rsidRPr="00463A8F">
        <w:rPr>
          <w:lang w:val="es-ES"/>
        </w:rPr>
        <w:t xml:space="preserve"> permite que </w:t>
      </w:r>
      <w:r>
        <w:rPr>
          <w:lang w:val="es-ES"/>
        </w:rPr>
        <w:t>las intendencias</w:t>
      </w:r>
      <w:r w:rsidRPr="00463A8F">
        <w:rPr>
          <w:lang w:val="es-ES"/>
        </w:rPr>
        <w:t xml:space="preserve"> distribuyan con libertad esos cupos </w:t>
      </w:r>
      <w:r>
        <w:rPr>
          <w:lang w:val="es-ES"/>
        </w:rPr>
        <w:t>entre las comunas beneficiarias, privilegiando a algunas sobre otras y, por otro lado, no perdiendo los cupos que una comuna no pueda ocupar por falta de postulantes, por ejemplo. En este sentido, la ley estaría operando con un cierto grado de descentralización –aunque leve–.</w:t>
      </w:r>
    </w:p>
    <w:p w:rsidR="001112AE" w:rsidRPr="006D31E2" w:rsidRDefault="001112AE" w:rsidP="001112AE">
      <w:pPr>
        <w:spacing w:after="0" w:line="240" w:lineRule="auto"/>
        <w:jc w:val="both"/>
        <w:rPr>
          <w:color w:val="FF0000"/>
        </w:rPr>
      </w:pPr>
    </w:p>
    <w:p w:rsidR="001112AE" w:rsidRDefault="001112AE" w:rsidP="001112AE">
      <w:pPr>
        <w:spacing w:after="0" w:line="240" w:lineRule="auto"/>
        <w:jc w:val="both"/>
        <w:rPr>
          <w:lang w:val="es-ES"/>
        </w:rPr>
      </w:pPr>
    </w:p>
    <w:p w:rsidR="001112AE" w:rsidRPr="004B16CA" w:rsidRDefault="001112AE" w:rsidP="004B16CA">
      <w:pPr>
        <w:pStyle w:val="Ttulo1"/>
        <w:numPr>
          <w:ilvl w:val="0"/>
          <w:numId w:val="5"/>
        </w:numPr>
      </w:pPr>
      <w:bookmarkStart w:id="44" w:name="_Toc341866745"/>
      <w:r w:rsidRPr="004B16CA">
        <w:t>RECOMENDACIONES</w:t>
      </w:r>
      <w:bookmarkEnd w:id="44"/>
    </w:p>
    <w:p w:rsidR="001112AE" w:rsidRDefault="001112AE" w:rsidP="001112AE">
      <w:pPr>
        <w:spacing w:after="0" w:line="240" w:lineRule="auto"/>
        <w:jc w:val="both"/>
        <w:rPr>
          <w:lang w:val="es-ES"/>
        </w:rPr>
      </w:pPr>
    </w:p>
    <w:p w:rsidR="001112AE" w:rsidRPr="00534B28" w:rsidRDefault="001112AE" w:rsidP="00534B28">
      <w:pPr>
        <w:pStyle w:val="Ttulo2"/>
      </w:pPr>
      <w:bookmarkStart w:id="45" w:name="_Toc341866746"/>
      <w:r w:rsidRPr="00534B28">
        <w:t>Un responsable nacional</w:t>
      </w:r>
      <w:bookmarkEnd w:id="45"/>
    </w:p>
    <w:p w:rsidR="001112AE" w:rsidRDefault="001112AE" w:rsidP="001112AE">
      <w:pPr>
        <w:spacing w:after="0" w:line="240" w:lineRule="auto"/>
        <w:jc w:val="both"/>
      </w:pPr>
    </w:p>
    <w:p w:rsidR="001112AE" w:rsidRDefault="001112AE" w:rsidP="004B16CA">
      <w:pPr>
        <w:pStyle w:val="Prrafodelista"/>
        <w:spacing w:after="0" w:line="240" w:lineRule="auto"/>
        <w:ind w:left="0"/>
        <w:jc w:val="both"/>
      </w:pPr>
      <w:r>
        <w:t xml:space="preserve">Debe establecerse un responsable institucional nacional único, a cargo de controlar la correcta aplicación de la ley Nº 20.330, sin perjuicio de que </w:t>
      </w:r>
      <w:r w:rsidR="005D559D">
        <w:t xml:space="preserve">en Chile </w:t>
      </w:r>
      <w:r>
        <w:t>el único ente facultado para interpretar leyes es la Contraloría General de la República. Luego, será también el responsable nacional el que estará en mejores condiciones de solicitar a esta última las interpretaciones que sean necesarias.</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Dicho responsable deberá proponer los cambios al texto del instrumento –</w:t>
      </w:r>
      <w:r w:rsidR="005D559D">
        <w:t xml:space="preserve">cambios </w:t>
      </w:r>
      <w:r>
        <w:t xml:space="preserve">cuyos términos se </w:t>
      </w:r>
      <w:r w:rsidR="0081388C">
        <w:t>pueden extraer de esta sección</w:t>
      </w:r>
      <w:r>
        <w:t>– y de su reglamento, y diseñar los flujos administrativos e institucionales y sus procedimientos (formularios, antecedentes requeridos, etc.), así como los correspondientes instructivos de operación para cada una de las instituciones que participan en la aplicación de la Ley.</w:t>
      </w:r>
      <w:r w:rsidR="00CB4654">
        <w:t xml:space="preserve"> Igualmente, deberá llevar el registro y seguimiento de los beneficiarios y beneficios entregados a nivel nacional, tarea de la que nadie se hace cargo hoy, salvo la Tesorería en el aspecto estrictamente contable.</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En el contexto actual, en que es el Ministerio de Educación la institución que, en nombre del Gobierno, se encuentra en plena revisión de las formas de financiamiento de la educación superior; dado también que el rol inicial de la SUBDERE</w:t>
      </w:r>
      <w:r w:rsidR="00F616CF">
        <w:t xml:space="preserve"> es </w:t>
      </w:r>
      <w:r>
        <w:t>apoya</w:t>
      </w:r>
      <w:r w:rsidR="00F616CF">
        <w:t>r</w:t>
      </w:r>
      <w:r>
        <w:t xml:space="preserve"> por distintas vías el desarrollo comunal, aunque la principal está centrada en la gestión y el presupuesto municipal; entonces es bastante claro que es una de estas dos reparticiones la que debe hacerse cargo, o las dos en conjunto.</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En el sentido de lo anterior, una idea plausible sería la formación de una comisión de funcionarios de SUBDERE y de la División de Educación Superior de MINEDUC que se abocara al estudio y formulación de un</w:t>
      </w:r>
      <w:r w:rsidR="00F616CF">
        <w:t xml:space="preserve">a modificación </w:t>
      </w:r>
      <w:r>
        <w:t>de la ley y/o de su reglamento.</w:t>
      </w:r>
    </w:p>
    <w:p w:rsidR="001112AE" w:rsidRDefault="001112AE" w:rsidP="001112AE">
      <w:pPr>
        <w:pStyle w:val="Prrafodelista"/>
        <w:spacing w:after="0" w:line="240" w:lineRule="auto"/>
        <w:ind w:left="360"/>
        <w:jc w:val="both"/>
      </w:pPr>
    </w:p>
    <w:p w:rsidR="001112AE" w:rsidRPr="00534B28" w:rsidRDefault="001112AE" w:rsidP="00534B28">
      <w:pPr>
        <w:pStyle w:val="Ttulo2"/>
      </w:pPr>
      <w:bookmarkStart w:id="46" w:name="_Toc341866747"/>
      <w:r w:rsidRPr="00534B28">
        <w:lastRenderedPageBreak/>
        <w:t>Menos interlocutores</w:t>
      </w:r>
      <w:bookmarkEnd w:id="46"/>
    </w:p>
    <w:p w:rsidR="001112AE" w:rsidRDefault="001112AE" w:rsidP="001112AE">
      <w:pPr>
        <w:spacing w:after="0" w:line="240" w:lineRule="auto"/>
        <w:jc w:val="both"/>
      </w:pPr>
    </w:p>
    <w:p w:rsidR="001112AE" w:rsidRDefault="001112AE" w:rsidP="004B16CA">
      <w:pPr>
        <w:pStyle w:val="Prrafodelista"/>
        <w:spacing w:after="0" w:line="240" w:lineRule="auto"/>
        <w:ind w:left="0"/>
        <w:jc w:val="both"/>
      </w:pPr>
      <w:r>
        <w:t xml:space="preserve">Debe controlarse mejor la participación de los administradores financieros de las universidades en los procedimientos y flujos de procesos. Esta es una tarea difícil dado el número de instituciones. Una posibilidad sería que la ley dotara explícitamente a la Intendencia de la facultad de requerir la información de deuda a dichos administradores. Por simplificar, esa facultad debería también aplicar para requerir la información a la Comisión Ingresa, no obstante ésta ha operado bastante bien hasta la fecha. De esa forma, reunir y completar el conjunto de antecedentes necesarios para que los postulantes obtengan el beneficio será una tarea concentrada en el encargado regional y no habrá duda </w:t>
      </w:r>
      <w:r w:rsidR="005D559D">
        <w:t>que</w:t>
      </w:r>
      <w:r>
        <w:t xml:space="preserve"> será éste el único interlocutor del postulante, quien no tendrá motivos para dirigirse a ninguna de las otras instituciones relacionadas con la Ley Nº 20.330, las que, en caso de ser contactadas, sólo podrán derivar al postulante a ese único interlocutor.</w:t>
      </w:r>
    </w:p>
    <w:p w:rsidR="005D559D" w:rsidRDefault="005D559D" w:rsidP="004B16CA">
      <w:pPr>
        <w:pStyle w:val="Prrafodelista"/>
        <w:spacing w:after="0" w:line="240" w:lineRule="auto"/>
        <w:ind w:left="0"/>
        <w:jc w:val="both"/>
      </w:pPr>
    </w:p>
    <w:p w:rsidR="005D559D" w:rsidRDefault="005D559D" w:rsidP="004B16CA">
      <w:pPr>
        <w:pStyle w:val="Prrafodelista"/>
        <w:spacing w:after="0" w:line="240" w:lineRule="auto"/>
        <w:ind w:left="0"/>
        <w:jc w:val="both"/>
      </w:pPr>
      <w:r>
        <w:t>Centralizar regionalmente los procesos facilitaría también la posibilidad de habilitar la postulación vía internet.</w:t>
      </w:r>
    </w:p>
    <w:p w:rsidR="00697914" w:rsidRDefault="00697914" w:rsidP="004B16CA">
      <w:pPr>
        <w:pStyle w:val="Prrafodelista"/>
        <w:spacing w:after="0" w:line="240" w:lineRule="auto"/>
        <w:ind w:left="0"/>
        <w:jc w:val="both"/>
      </w:pPr>
    </w:p>
    <w:p w:rsidR="001112AE" w:rsidRPr="00534B28" w:rsidRDefault="001112AE" w:rsidP="00534B28">
      <w:pPr>
        <w:pStyle w:val="Ttulo2"/>
      </w:pPr>
      <w:bookmarkStart w:id="47" w:name="_Toc341866748"/>
      <w:r w:rsidRPr="00534B28">
        <w:t>Un diagnóstico</w:t>
      </w:r>
      <w:bookmarkEnd w:id="47"/>
    </w:p>
    <w:p w:rsidR="006E365C" w:rsidRDefault="006E365C"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Sea cual sea la institución responsable nacional de la ley y su aplicación, ella deberá levantar un diagnóstico de necesidades de profesionales, identificando territorios en carencia y áreas disciplinarias requeridas.</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 xml:space="preserve">Hoy, resulta por lo menos discutible la incorporación al listado de </w:t>
      </w:r>
      <w:r w:rsidR="00056C70">
        <w:t>elegibles</w:t>
      </w:r>
      <w:r>
        <w:t>, de ciertas grandes comunas urbanas del área metropolitana de Santiago o a capitales regionales, máxime cuando la ley es explícita en consignar ciertos criterios generales de elegibilidad como la baja población o la alta ruralidad. Asimismo, hay ciertas profesiones cuyo aporte puede no ser el más pertinente considerando realidades comunales específicas.</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 xml:space="preserve">Eventualmente, se podrán establecer diferencias en el subsidio según </w:t>
      </w:r>
      <w:r w:rsidRPr="005D559D">
        <w:rPr>
          <w:i/>
        </w:rPr>
        <w:t>territorio</w:t>
      </w:r>
      <w:r>
        <w:t xml:space="preserve"> (así como hoy se establece diferencia según el </w:t>
      </w:r>
      <w:r w:rsidRPr="005D559D">
        <w:rPr>
          <w:i/>
        </w:rPr>
        <w:t>período de continuidad</w:t>
      </w:r>
      <w:r>
        <w:t xml:space="preserve"> en el desempeño de las funciones profesionales en la institución y la comuna) y según </w:t>
      </w:r>
      <w:r w:rsidRPr="005D559D">
        <w:rPr>
          <w:i/>
        </w:rPr>
        <w:t>áreas disciplinarias</w:t>
      </w:r>
      <w:r>
        <w:t>.</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Sólo contando con ese diagnóstico –detallado–, se podrán establecer criterios de focalización que no resulten en la aplicación arbitraria de una línea de corte en el ranking de comunas de bajo desarrollo.</w:t>
      </w:r>
    </w:p>
    <w:p w:rsidR="001112AE" w:rsidRDefault="001112AE" w:rsidP="001112AE">
      <w:pPr>
        <w:spacing w:after="0" w:line="240" w:lineRule="auto"/>
        <w:jc w:val="both"/>
      </w:pPr>
    </w:p>
    <w:p w:rsidR="001112AE" w:rsidRPr="00534B28" w:rsidRDefault="001112AE" w:rsidP="00534B28">
      <w:pPr>
        <w:pStyle w:val="Ttulo2"/>
      </w:pPr>
      <w:bookmarkStart w:id="48" w:name="_Toc341866749"/>
      <w:r w:rsidRPr="00534B28">
        <w:t>Tipo de deudores y tipo de institución de estudios superiores</w:t>
      </w:r>
      <w:bookmarkEnd w:id="48"/>
    </w:p>
    <w:p w:rsidR="001112AE" w:rsidRDefault="001112AE" w:rsidP="001112AE">
      <w:pPr>
        <w:spacing w:after="0" w:line="240" w:lineRule="auto"/>
        <w:jc w:val="both"/>
      </w:pPr>
    </w:p>
    <w:p w:rsidR="001112AE" w:rsidRDefault="001112AE" w:rsidP="004B16CA">
      <w:pPr>
        <w:pStyle w:val="Prrafodelista"/>
        <w:spacing w:after="0" w:line="240" w:lineRule="auto"/>
        <w:ind w:left="0"/>
        <w:jc w:val="both"/>
      </w:pPr>
      <w:r>
        <w:t xml:space="preserve">Hasta hoy la Ley Nº 20.330 sólo financia el pago de deudas correspondientes a las leyes Nº </w:t>
      </w:r>
      <w:r w:rsidRPr="00436323">
        <w:t>19.287 y Nº 20.027</w:t>
      </w:r>
      <w:r>
        <w:t>. Esto es que deja fuera del beneficio a profesionales que financiaron sus estudios mediante créditos CORFO o créditos adquiridos en la banca privada. Tratándose de estudios cursados en instituciones reconocidas por el Estado, no hay motivo para hacer esta discriminación, por lo que la ley deberá beneficiar a todo tipo de deudor que pueda acreditar su deuda y el destino de la misma (pago de aranceles universitarios de pregrado).</w:t>
      </w:r>
    </w:p>
    <w:p w:rsidR="001112AE" w:rsidRDefault="001112AE" w:rsidP="004B16CA">
      <w:pPr>
        <w:spacing w:after="0" w:line="240" w:lineRule="auto"/>
        <w:jc w:val="both"/>
      </w:pPr>
    </w:p>
    <w:p w:rsidR="001112AE" w:rsidRDefault="001112AE" w:rsidP="004B16CA">
      <w:pPr>
        <w:spacing w:after="0" w:line="240" w:lineRule="auto"/>
        <w:jc w:val="both"/>
      </w:pPr>
      <w:r>
        <w:t>Lo que la ley Nº 20.330 omite y que debería explicitar, más aún en el contexto actual de discusión pública sobre calidad de la formación universitaria, son las condiciones mínimas de acreditación u otro sistema de reconocimiento de calidad que está vigente o entre en vigencia.</w:t>
      </w:r>
    </w:p>
    <w:p w:rsidR="00056C70" w:rsidRDefault="00056C70" w:rsidP="004B16CA">
      <w:pPr>
        <w:spacing w:after="0" w:line="240" w:lineRule="auto"/>
        <w:jc w:val="both"/>
      </w:pPr>
    </w:p>
    <w:p w:rsidR="00056C70" w:rsidRDefault="00056C70" w:rsidP="007D525F">
      <w:pPr>
        <w:pStyle w:val="Ttulo2"/>
        <w:ind w:left="709" w:hanging="709"/>
      </w:pPr>
      <w:bookmarkStart w:id="49" w:name="_Toc341866750"/>
      <w:r>
        <w:t xml:space="preserve">Registro de instituciones </w:t>
      </w:r>
      <w:r w:rsidR="007D525F">
        <w:t xml:space="preserve">colaboradoras de las municipalidades, </w:t>
      </w:r>
      <w:r>
        <w:t>receptoras</w:t>
      </w:r>
      <w:r w:rsidR="007D525F">
        <w:t xml:space="preserve"> de profesionales beneficiarios</w:t>
      </w:r>
      <w:bookmarkEnd w:id="49"/>
    </w:p>
    <w:p w:rsidR="00056C70" w:rsidRPr="00056C70" w:rsidRDefault="00056C70" w:rsidP="00056C70">
      <w:pPr>
        <w:spacing w:after="0" w:line="240" w:lineRule="auto"/>
        <w:jc w:val="both"/>
      </w:pPr>
    </w:p>
    <w:p w:rsidR="006971D1" w:rsidRPr="00056C70" w:rsidRDefault="006971D1" w:rsidP="006971D1">
      <w:pPr>
        <w:spacing w:after="0" w:line="240" w:lineRule="auto"/>
        <w:jc w:val="both"/>
      </w:pPr>
      <w:r>
        <w:t xml:space="preserve">Desde 2003 rige la Ley Nº 19.862, que establece el Registro de Personas Jurídicas Receptoras de Fondos Públicos. Según este instrumento, la SUBDERE estableció un Registro Central de Entidades Colaboradoras de las Municipalidades que, tal como determina la Ley Nº 20.330, son justamente aquellas cuyos funcionarios contratados pueden acceder al beneficio </w:t>
      </w:r>
      <w:r w:rsidR="007D525F">
        <w:t>de pago de deuda de crédito para estudios superiores</w:t>
      </w:r>
      <w:r>
        <w:t>.</w:t>
      </w:r>
    </w:p>
    <w:p w:rsidR="006971D1" w:rsidRDefault="006971D1" w:rsidP="00056C70">
      <w:pPr>
        <w:spacing w:after="0" w:line="240" w:lineRule="auto"/>
        <w:jc w:val="both"/>
      </w:pPr>
    </w:p>
    <w:p w:rsidR="001112AE" w:rsidRDefault="007D525F" w:rsidP="00056C70">
      <w:pPr>
        <w:spacing w:after="0" w:line="240" w:lineRule="auto"/>
        <w:jc w:val="both"/>
      </w:pPr>
      <w:r>
        <w:t>Dado lo anterior, aunque h</w:t>
      </w:r>
      <w:r w:rsidR="00056C70">
        <w:t>a sido escaso –por no decir casi nulo– el interés de instituciones distintas de los municipios</w:t>
      </w:r>
      <w:r w:rsidR="006971D1">
        <w:t>,</w:t>
      </w:r>
      <w:r w:rsidR="00056C70">
        <w:t xml:space="preserve"> por atraer a profesionales en base al beneficio de la Ley Nº 20.330</w:t>
      </w:r>
      <w:r>
        <w:t xml:space="preserve">, </w:t>
      </w:r>
      <w:r w:rsidR="00056C70">
        <w:t xml:space="preserve">ello no impide afirmar que la existencia de un registro </w:t>
      </w:r>
      <w:r w:rsidR="00056C70" w:rsidRPr="007D525F">
        <w:rPr>
          <w:i/>
        </w:rPr>
        <w:t>especial</w:t>
      </w:r>
      <w:r>
        <w:rPr>
          <w:rStyle w:val="Refdenotaalpie"/>
          <w:i/>
        </w:rPr>
        <w:footnoteReference w:id="15"/>
      </w:r>
      <w:r w:rsidR="00056C70">
        <w:t xml:space="preserve"> en el que </w:t>
      </w:r>
      <w:r>
        <w:t xml:space="preserve">éstas </w:t>
      </w:r>
      <w:r w:rsidR="00056C70">
        <w:t>deban inscribirse no resulta más que en un paso burocrático innecesario</w:t>
      </w:r>
      <w:r>
        <w:t>, en lugar del cual debería operar el registro preexistente.</w:t>
      </w:r>
    </w:p>
    <w:p w:rsidR="007D525F" w:rsidRDefault="007D525F" w:rsidP="00056C70">
      <w:pPr>
        <w:spacing w:after="0" w:line="240" w:lineRule="auto"/>
        <w:jc w:val="both"/>
      </w:pPr>
    </w:p>
    <w:p w:rsidR="001112AE" w:rsidRPr="00534B28" w:rsidRDefault="001112AE" w:rsidP="00534B28">
      <w:pPr>
        <w:pStyle w:val="Ttulo2"/>
      </w:pPr>
      <w:bookmarkStart w:id="50" w:name="_Toc341866751"/>
      <w:r w:rsidRPr="00534B28">
        <w:t>Continuidad</w:t>
      </w:r>
      <w:bookmarkEnd w:id="50"/>
    </w:p>
    <w:p w:rsidR="001112AE" w:rsidRPr="003E3AB4" w:rsidRDefault="001112AE" w:rsidP="001112AE">
      <w:pPr>
        <w:spacing w:after="0" w:line="240" w:lineRule="auto"/>
        <w:jc w:val="both"/>
        <w:rPr>
          <w:b/>
        </w:rPr>
      </w:pPr>
    </w:p>
    <w:p w:rsidR="001112AE" w:rsidRDefault="001112AE" w:rsidP="004B16CA">
      <w:pPr>
        <w:pStyle w:val="Prrafodelista"/>
        <w:spacing w:after="0" w:line="240" w:lineRule="auto"/>
        <w:ind w:left="0"/>
        <w:jc w:val="both"/>
      </w:pPr>
      <w:r>
        <w:t xml:space="preserve">Para evitar las eventuales discontinuidades que se han producido en la incorporación de ciertas comunas a la lista de las </w:t>
      </w:r>
      <w:r w:rsidR="005D559D">
        <w:t>elegibles</w:t>
      </w:r>
      <w:r>
        <w:t xml:space="preserve"> (estuvieron el primer año y salieron el segundo año, lo que deja sin opción de continuidad al profesional que obtuvo el beneficio el primer año), y teniendo en cuenta que, por más que algunos de los indicadores cambien, difícilmente cambiarán las condiciones profundas de desarrollo de un territorio comunal en menos de 3 años, el decreto que establece el listado y la línea de corte deberá emitirse de manera plurianual, con una periodicidad mínima de 3 años.</w:t>
      </w:r>
    </w:p>
    <w:p w:rsidR="001112AE" w:rsidRDefault="001112AE" w:rsidP="001112AE">
      <w:pPr>
        <w:pStyle w:val="Prrafodelista"/>
        <w:spacing w:after="0" w:line="240" w:lineRule="auto"/>
        <w:ind w:left="360"/>
        <w:jc w:val="both"/>
      </w:pPr>
    </w:p>
    <w:p w:rsidR="001112AE" w:rsidRPr="00534B28" w:rsidRDefault="001112AE" w:rsidP="00534B28">
      <w:pPr>
        <w:pStyle w:val="Ttulo2"/>
      </w:pPr>
      <w:bookmarkStart w:id="51" w:name="_Toc341866752"/>
      <w:r w:rsidRPr="00534B28">
        <w:t>El beneficio como atractivo y no como premio</w:t>
      </w:r>
      <w:bookmarkEnd w:id="51"/>
    </w:p>
    <w:p w:rsidR="001112AE" w:rsidRPr="003E3AB4" w:rsidRDefault="001112AE" w:rsidP="001112AE">
      <w:pPr>
        <w:spacing w:after="0" w:line="240" w:lineRule="auto"/>
        <w:jc w:val="both"/>
        <w:rPr>
          <w:b/>
        </w:rPr>
      </w:pPr>
    </w:p>
    <w:p w:rsidR="00C95A65" w:rsidRDefault="001112AE" w:rsidP="004B16CA">
      <w:pPr>
        <w:pStyle w:val="Prrafodelista"/>
        <w:spacing w:after="0" w:line="240" w:lineRule="auto"/>
        <w:ind w:left="0"/>
        <w:jc w:val="both"/>
      </w:pPr>
      <w:r>
        <w:t>Se entiende que</w:t>
      </w:r>
      <w:r w:rsidR="00C95A65">
        <w:t>,</w:t>
      </w:r>
      <w:r>
        <w:t xml:space="preserve"> en su espíritu, la ley pretende incentivar nuevas contrataciones en las comunas de menor desarrollo, sea en los municipios, sea en instituciones privadas sin fines de lucro que trabajen por el desarrollo comunal. Por una parte, entonces, la ley –o su reglamento– </w:t>
      </w:r>
      <w:proofErr w:type="gramStart"/>
      <w:r>
        <w:t>debe</w:t>
      </w:r>
      <w:proofErr w:type="gramEnd"/>
      <w:r>
        <w:t xml:space="preserve"> establecer criterios que excluyan del acceso al beneficio a los funcionarios que lleven más de un cierto número de años en el cargo por el cual actual</w:t>
      </w:r>
      <w:r w:rsidR="00CA3690">
        <w:t>mente pueden hacerse acreedores</w:t>
      </w:r>
      <w:r w:rsidR="00C95A65">
        <w:t>.</w:t>
      </w:r>
    </w:p>
    <w:p w:rsidR="001112AE" w:rsidRDefault="00C95A65" w:rsidP="004B16CA">
      <w:pPr>
        <w:pStyle w:val="Prrafodelista"/>
        <w:spacing w:after="0" w:line="240" w:lineRule="auto"/>
        <w:ind w:left="0"/>
        <w:jc w:val="both"/>
      </w:pPr>
      <w:r>
        <w:t xml:space="preserve"> </w:t>
      </w:r>
    </w:p>
    <w:p w:rsidR="001112AE" w:rsidRDefault="001112AE" w:rsidP="004B16CA">
      <w:pPr>
        <w:pStyle w:val="Prrafodelista"/>
        <w:spacing w:after="0" w:line="240" w:lineRule="auto"/>
        <w:ind w:left="0"/>
        <w:jc w:val="both"/>
      </w:pPr>
      <w:r>
        <w:t xml:space="preserve">Acotar el otorgamiento del beneficio a nuevas contrataciones, esto es hacer de él un atractivo y no un premio, resolverá de paso el vacío respecto a los criterios </w:t>
      </w:r>
      <w:proofErr w:type="spellStart"/>
      <w:r>
        <w:t>intra</w:t>
      </w:r>
      <w:proofErr w:type="spellEnd"/>
      <w:r w:rsidR="00C95A65">
        <w:t>-</w:t>
      </w:r>
      <w:r>
        <w:t>municipales de selección de funcionarios “</w:t>
      </w:r>
      <w:proofErr w:type="spellStart"/>
      <w:r>
        <w:t>postulables</w:t>
      </w:r>
      <w:proofErr w:type="spellEnd"/>
      <w:r>
        <w:t xml:space="preserve">”. </w:t>
      </w:r>
      <w:r w:rsidR="00C95A65">
        <w:t>En e</w:t>
      </w:r>
      <w:r>
        <w:t xml:space="preserve">l modelo actual de aplicación de la ley, tarde o temprano ese vacío provocará algún tipo de conflicto por la competencia interna que se podría llegar a generar en algunos municipios (más aún si la lista de comunas beneficiarias sigue creciendo como ha crecido hasta ahora, incorporando a municipios que cuentan con grandes </w:t>
      </w:r>
      <w:proofErr w:type="spellStart"/>
      <w:r>
        <w:t>staffs</w:t>
      </w:r>
      <w:proofErr w:type="spellEnd"/>
      <w:r>
        <w:t xml:space="preserve"> profesionales y técnicos).</w:t>
      </w:r>
    </w:p>
    <w:p w:rsidR="00097C03" w:rsidRDefault="00097C03" w:rsidP="004B16CA">
      <w:pPr>
        <w:pStyle w:val="Prrafodelista"/>
        <w:spacing w:after="0" w:line="240" w:lineRule="auto"/>
        <w:ind w:left="0"/>
        <w:jc w:val="both"/>
      </w:pPr>
    </w:p>
    <w:p w:rsidR="00097C03" w:rsidRPr="00534B28" w:rsidRDefault="00097C03" w:rsidP="00534B28">
      <w:pPr>
        <w:pStyle w:val="Ttulo2"/>
      </w:pPr>
      <w:bookmarkStart w:id="52" w:name="_Toc341866753"/>
      <w:r w:rsidRPr="00534B28">
        <w:t>Beneficio para la comuna: tarea para el municipio</w:t>
      </w:r>
      <w:bookmarkEnd w:id="52"/>
    </w:p>
    <w:p w:rsidR="00097C03" w:rsidRPr="00097C03" w:rsidRDefault="00097C03" w:rsidP="00097C03">
      <w:pPr>
        <w:spacing w:after="0" w:line="240" w:lineRule="auto"/>
        <w:jc w:val="both"/>
        <w:rPr>
          <w:b/>
        </w:rPr>
      </w:pPr>
    </w:p>
    <w:p w:rsidR="00097C03" w:rsidRDefault="00097C03" w:rsidP="00097C03">
      <w:pPr>
        <w:spacing w:after="0" w:line="240" w:lineRule="auto"/>
        <w:jc w:val="both"/>
      </w:pPr>
      <w:r>
        <w:t xml:space="preserve">Como hemos visto, la Ley Nº 20.330 busca incentivar a profesionales jóvenes para que se desempeñen en territorios </w:t>
      </w:r>
      <w:r w:rsidR="003D6009">
        <w:t xml:space="preserve">–comunales– </w:t>
      </w:r>
      <w:r>
        <w:t xml:space="preserve">que normalmente no les resultan atractivos, justamente por falta de incentivos; y coincide que estos territorios son los más rezagados del desarrollo </w:t>
      </w:r>
      <w:r>
        <w:lastRenderedPageBreak/>
        <w:t>nacional. Esto es, que el financiamiento que la ley ofrece</w:t>
      </w:r>
      <w:r w:rsidR="003D6009">
        <w:t>rá</w:t>
      </w:r>
      <w:r>
        <w:t xml:space="preserve"> a los profesionales </w:t>
      </w:r>
      <w:r w:rsidR="003D6009">
        <w:t xml:space="preserve">jóvenes </w:t>
      </w:r>
      <w:r>
        <w:t>no es más que un medi</w:t>
      </w:r>
      <w:r w:rsidR="003D6009">
        <w:t>o para lograr el objetivo mayor</w:t>
      </w:r>
      <w:r>
        <w:t xml:space="preserve"> de “desarrollo” de las comunas.</w:t>
      </w:r>
    </w:p>
    <w:p w:rsidR="003D6009" w:rsidRDefault="003D6009" w:rsidP="00097C03">
      <w:pPr>
        <w:spacing w:after="0" w:line="240" w:lineRule="auto"/>
        <w:jc w:val="both"/>
      </w:pPr>
    </w:p>
    <w:p w:rsidR="003D6009" w:rsidRDefault="003D6009" w:rsidP="00097C03">
      <w:pPr>
        <w:spacing w:after="0" w:line="240" w:lineRule="auto"/>
        <w:jc w:val="both"/>
      </w:pPr>
      <w:r>
        <w:t>Siendo así, además de hacer del beneficio económico un incentivo y no un premio para quien lo recibe, la ley debe fomentar el interés de las propias instituciones receptores –municipios y otras complementarias, encargadas de avanzar en el desarrollo comunal– en acceder a la posibilidad de fortalecer sus equipos.</w:t>
      </w:r>
    </w:p>
    <w:p w:rsidR="003D6009" w:rsidRDefault="003D6009" w:rsidP="00097C03">
      <w:pPr>
        <w:spacing w:after="0" w:line="240" w:lineRule="auto"/>
        <w:jc w:val="both"/>
      </w:pPr>
    </w:p>
    <w:p w:rsidR="003D6009" w:rsidRDefault="00C95A65" w:rsidP="00097C03">
      <w:pPr>
        <w:spacing w:after="0" w:line="240" w:lineRule="auto"/>
        <w:jc w:val="both"/>
      </w:pPr>
      <w:r>
        <w:t xml:space="preserve">Para ello, resulta claramente insuficiente </w:t>
      </w:r>
      <w:r w:rsidR="003D6009">
        <w:t xml:space="preserve">el </w:t>
      </w:r>
      <w:r w:rsidR="006D31E2">
        <w:t xml:space="preserve">pasivo </w:t>
      </w:r>
      <w:r w:rsidR="003D6009">
        <w:t xml:space="preserve">rol que hasta la fecha han cumplido las instituciones receptoras, de </w:t>
      </w:r>
      <w:r w:rsidR="006D31E2">
        <w:t xml:space="preserve">simplemente </w:t>
      </w:r>
      <w:r w:rsidR="003D6009">
        <w:t xml:space="preserve">emitir un certificado de desempeño laboral del postulante. Por el contrario, se requieren instituciones receptoras particularmente activas en determinar sus necesidades técnico-profesionales </w:t>
      </w:r>
      <w:r w:rsidR="006D31E2">
        <w:t xml:space="preserve">específicas </w:t>
      </w:r>
      <w:r w:rsidR="003D6009">
        <w:t xml:space="preserve">y en acudir a los medios </w:t>
      </w:r>
      <w:r>
        <w:t xml:space="preserve">que tienen a su disposición </w:t>
      </w:r>
      <w:r w:rsidR="006D31E2">
        <w:t xml:space="preserve">–en este </w:t>
      </w:r>
      <w:r w:rsidR="006D31E2" w:rsidRPr="00C95A65">
        <w:t xml:space="preserve">caso la Ley Nº 20.330– </w:t>
      </w:r>
      <w:r w:rsidR="003D6009" w:rsidRPr="00C95A65">
        <w:t>pa</w:t>
      </w:r>
      <w:r w:rsidR="006D31E2" w:rsidRPr="00C95A65">
        <w:t>ra contratar.</w:t>
      </w:r>
    </w:p>
    <w:p w:rsidR="001112AE" w:rsidRDefault="001112AE" w:rsidP="001112AE">
      <w:pPr>
        <w:pStyle w:val="Prrafodelista"/>
        <w:spacing w:after="0" w:line="240" w:lineRule="auto"/>
        <w:ind w:left="360"/>
        <w:jc w:val="both"/>
      </w:pPr>
    </w:p>
    <w:p w:rsidR="001112AE" w:rsidRPr="00534B28" w:rsidRDefault="001112AE" w:rsidP="00534B28">
      <w:pPr>
        <w:pStyle w:val="Ttulo2"/>
      </w:pPr>
      <w:bookmarkStart w:id="53" w:name="_Toc341866754"/>
      <w:r w:rsidRPr="00534B28">
        <w:t>Financiamiento para los municipios</w:t>
      </w:r>
      <w:bookmarkEnd w:id="53"/>
    </w:p>
    <w:p w:rsidR="001112AE" w:rsidRPr="00DD0D64" w:rsidRDefault="001112AE" w:rsidP="001112AE">
      <w:pPr>
        <w:spacing w:after="0" w:line="240" w:lineRule="auto"/>
        <w:jc w:val="both"/>
        <w:rPr>
          <w:b/>
        </w:rPr>
      </w:pPr>
    </w:p>
    <w:p w:rsidR="001112AE" w:rsidRDefault="001112AE" w:rsidP="004B16CA">
      <w:pPr>
        <w:pStyle w:val="Prrafodelista"/>
        <w:spacing w:after="0" w:line="240" w:lineRule="auto"/>
        <w:ind w:left="0"/>
        <w:jc w:val="both"/>
      </w:pPr>
      <w:r>
        <w:t xml:space="preserve">Considerando que los municipios de </w:t>
      </w:r>
      <w:r w:rsidR="006E365C">
        <w:t>las</w:t>
      </w:r>
      <w:r>
        <w:t xml:space="preserve"> comunas </w:t>
      </w:r>
      <w:r w:rsidR="006E365C">
        <w:t xml:space="preserve">de menor desarrollo </w:t>
      </w:r>
      <w:r>
        <w:t>son normalmente muy dependientes del Fondo Común Municipal y cuentan con presupuestos muy reducidos que apenas financian los servicios esenciales, entonces debe asegurarse que cuenten con más recursos para financiar remuneraciones; para esto no basta con liberarlos del tope legal, ya que con o sin tope, la contratación de profesionales los obliga a distraer fondos actualmente utilizados en otros destinos tanto o más necesarios.</w:t>
      </w:r>
    </w:p>
    <w:p w:rsidR="00C95A65" w:rsidRDefault="00C95A65" w:rsidP="004B16CA">
      <w:pPr>
        <w:pStyle w:val="Prrafodelista"/>
        <w:spacing w:after="0" w:line="240" w:lineRule="auto"/>
        <w:ind w:left="0"/>
        <w:jc w:val="both"/>
      </w:pPr>
    </w:p>
    <w:p w:rsidR="00C95A65" w:rsidRDefault="00C95A65" w:rsidP="004B16CA">
      <w:pPr>
        <w:pStyle w:val="Prrafodelista"/>
        <w:spacing w:after="0" w:line="240" w:lineRule="auto"/>
        <w:ind w:left="0"/>
        <w:jc w:val="both"/>
      </w:pPr>
      <w:r>
        <w:t>En vista que no es viable, al corto plazo, una modificación estructural al sistema de financiamiento municipal, entonces deben buscarse fuentes de financiamiento específicas para pagar remuneraciones en el marco de este programa.</w:t>
      </w:r>
    </w:p>
    <w:p w:rsidR="00F14EB0" w:rsidRDefault="00F14EB0" w:rsidP="004B16CA">
      <w:pPr>
        <w:pStyle w:val="Prrafodelista"/>
        <w:spacing w:after="0" w:line="240" w:lineRule="auto"/>
        <w:ind w:left="0"/>
        <w:jc w:val="both"/>
      </w:pPr>
    </w:p>
    <w:p w:rsidR="001112AE" w:rsidRPr="00534B28" w:rsidRDefault="001112AE" w:rsidP="00534B28">
      <w:pPr>
        <w:pStyle w:val="Ttulo2"/>
      </w:pPr>
      <w:bookmarkStart w:id="54" w:name="_Toc341866755"/>
      <w:r w:rsidRPr="00534B28">
        <w:t>Difusión</w:t>
      </w:r>
      <w:bookmarkEnd w:id="54"/>
    </w:p>
    <w:p w:rsidR="001112AE" w:rsidRDefault="001112AE" w:rsidP="001112AE">
      <w:pPr>
        <w:spacing w:after="0" w:line="240" w:lineRule="auto"/>
        <w:jc w:val="both"/>
      </w:pPr>
    </w:p>
    <w:p w:rsidR="001112AE" w:rsidRDefault="001112AE" w:rsidP="004B16CA">
      <w:pPr>
        <w:pStyle w:val="Prrafodelista"/>
        <w:spacing w:after="0" w:line="240" w:lineRule="auto"/>
        <w:ind w:left="0"/>
        <w:jc w:val="both"/>
      </w:pPr>
      <w:r>
        <w:t>En la mayoría de las entrevistas y encuestas, cuando se consult</w:t>
      </w:r>
      <w:r w:rsidR="00C95A65">
        <w:t>ó</w:t>
      </w:r>
      <w:r>
        <w:t xml:space="preserve"> por los canales de i</w:t>
      </w:r>
      <w:r w:rsidR="00C95A65">
        <w:t>nformación y difusión sobre la L</w:t>
      </w:r>
      <w:r>
        <w:t>ey Nº 20.330, quedó d</w:t>
      </w:r>
      <w:r w:rsidR="00C95A65">
        <w:t>e manifiesto que éstos han sido escaso</w:t>
      </w:r>
      <w:r>
        <w:t>s y que los beneficiarios han llegado a conocerla por sus propias búsquedas o casualmente. Es claro, por lo tanto, que deben</w:t>
      </w:r>
      <w:r w:rsidR="00C95A65">
        <w:t xml:space="preserve"> diseñarse canales de difusión, como </w:t>
      </w:r>
      <w:r>
        <w:t>campañas anuales, un nuevo lanzamiento del programa en condiciones mejoradas, u otros medios.</w:t>
      </w:r>
    </w:p>
    <w:p w:rsidR="001112AE" w:rsidRDefault="001112AE" w:rsidP="004B16CA">
      <w:pPr>
        <w:spacing w:after="0" w:line="240" w:lineRule="auto"/>
        <w:jc w:val="both"/>
      </w:pPr>
    </w:p>
    <w:p w:rsidR="001112AE" w:rsidRPr="00534B28" w:rsidRDefault="001112AE" w:rsidP="00534B28">
      <w:pPr>
        <w:pStyle w:val="Ttulo2"/>
      </w:pPr>
      <w:bookmarkStart w:id="55" w:name="_Toc341866756"/>
      <w:r w:rsidRPr="00534B28">
        <w:t>Plazos de postulación y entrega del beneficio</w:t>
      </w:r>
      <w:bookmarkEnd w:id="55"/>
    </w:p>
    <w:p w:rsidR="001112AE" w:rsidRDefault="001112AE" w:rsidP="001112AE">
      <w:pPr>
        <w:spacing w:after="0" w:line="240" w:lineRule="auto"/>
        <w:jc w:val="both"/>
        <w:rPr>
          <w:b/>
        </w:rPr>
      </w:pPr>
    </w:p>
    <w:p w:rsidR="001112AE" w:rsidRDefault="001112AE" w:rsidP="004B16CA">
      <w:pPr>
        <w:pStyle w:val="Prrafodelista"/>
        <w:spacing w:after="0" w:line="240" w:lineRule="auto"/>
        <w:ind w:left="0"/>
        <w:jc w:val="both"/>
      </w:pPr>
      <w:r>
        <w:t>Muchos beneficiarios reclaman que al tramitar sus postulaciones se topan los plazos de pago del beneficio con los plazos de repactación anual de sus deudas –un proceso independiente y paralelo–.</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 xml:space="preserve">En este sentido, es necesario que el reglamento de la </w:t>
      </w:r>
      <w:r w:rsidR="00431CFF">
        <w:t>L</w:t>
      </w:r>
      <w:r>
        <w:t>ey establezca un calendario único y claro para el cumplimiento de cada paso del proceso que va desde la entrega de los antecedentes a la Intendencia, hasta el pago del beneficio por parte de Tesorería. Estos plazos deben tener en cuenta los de la repactación anual de la deuda, de manera que se evite que los beneficiarios deban desembolsar su propio dinero en circunstancia que ya se les ha asignado o se les asignará el beneficio.</w:t>
      </w:r>
    </w:p>
    <w:p w:rsidR="006D31E2" w:rsidRDefault="006D31E2" w:rsidP="004B16CA">
      <w:pPr>
        <w:pStyle w:val="Prrafodelista"/>
        <w:spacing w:after="0" w:line="240" w:lineRule="auto"/>
        <w:ind w:left="0"/>
        <w:jc w:val="both"/>
      </w:pPr>
    </w:p>
    <w:p w:rsidR="001112AE" w:rsidRPr="00534B28" w:rsidRDefault="001112AE" w:rsidP="00534B28">
      <w:pPr>
        <w:pStyle w:val="Ttulo2"/>
      </w:pPr>
      <w:bookmarkStart w:id="56" w:name="_Toc341866757"/>
      <w:r w:rsidRPr="00534B28">
        <w:lastRenderedPageBreak/>
        <w:t>Montos del beneficio</w:t>
      </w:r>
      <w:bookmarkEnd w:id="56"/>
    </w:p>
    <w:p w:rsidR="001112AE" w:rsidRDefault="001112AE" w:rsidP="001112AE">
      <w:pPr>
        <w:pStyle w:val="Prrafodelista"/>
        <w:spacing w:after="0" w:line="240" w:lineRule="auto"/>
        <w:ind w:left="360"/>
        <w:jc w:val="both"/>
      </w:pPr>
    </w:p>
    <w:p w:rsidR="001112AE" w:rsidRDefault="001112AE" w:rsidP="004B16CA">
      <w:pPr>
        <w:pStyle w:val="Prrafodelista"/>
        <w:spacing w:after="0" w:line="240" w:lineRule="auto"/>
        <w:ind w:left="0"/>
        <w:jc w:val="both"/>
      </w:pPr>
      <w:r>
        <w:t>Según lo q</w:t>
      </w:r>
      <w:r w:rsidR="00431CFF">
        <w:t>ue establece la L</w:t>
      </w:r>
      <w:r>
        <w:t xml:space="preserve">ey Nº 20.330, el monto del beneficio se calcula sobre la cuota anual pactada, esto es aquella </w:t>
      </w:r>
      <w:r w:rsidR="00431CFF">
        <w:t>que no puede superar</w:t>
      </w:r>
      <w:r>
        <w:t xml:space="preserve"> </w:t>
      </w:r>
      <w:r w:rsidR="00431CFF">
        <w:t>e</w:t>
      </w:r>
      <w:r>
        <w:t>l 5% de la renta anual líquida percibida por el deudor. Esto significa que a menores remuneraciones del beneficiario, menor es el aporte monetario del beneficio, lo cual es un evidente contrasentido.</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El cálculo del monto de la deuda a cubrir debe, por lo tanto, calcularse sobre la base de la deuda total y no sobre la cuota pactada; o bien, debe establecerse un monto fijo (absoluto) de aporte, salvo que la deuda sea inferior a dicho monto.</w:t>
      </w:r>
    </w:p>
    <w:p w:rsidR="001112AE" w:rsidRDefault="001112AE" w:rsidP="004B16CA">
      <w:pPr>
        <w:pStyle w:val="Prrafodelista"/>
        <w:spacing w:after="0" w:line="240" w:lineRule="auto"/>
        <w:ind w:left="0"/>
        <w:jc w:val="both"/>
      </w:pPr>
    </w:p>
    <w:p w:rsidR="001112AE" w:rsidRDefault="001112AE" w:rsidP="004B16CA">
      <w:pPr>
        <w:pStyle w:val="Prrafodelista"/>
        <w:spacing w:after="0" w:line="240" w:lineRule="auto"/>
        <w:ind w:left="0"/>
        <w:jc w:val="both"/>
      </w:pPr>
      <w:r>
        <w:t xml:space="preserve">Por otra parte, debe ser considerada la posibilidad que el deudor haya saldado el total de su deuda el primero o el segundo año de desempeño en el cargo que lo hace acreedor del beneficio. Si es así, su continuidad no será premiada, por lo que no habrá atractivo para que permanezca en el cargo. </w:t>
      </w:r>
      <w:r w:rsidR="0018613A">
        <w:t>Si aún asís e quiere fomentar la continuidad, h</w:t>
      </w:r>
      <w:r>
        <w:t>ay que resolver este punto y la alternativa de pagar un monto fijo directamente al beneficiario, al final del tercer año de desempeño, puede ser una alternativa.</w:t>
      </w:r>
    </w:p>
    <w:p w:rsidR="0014216A" w:rsidRDefault="0014216A" w:rsidP="004B16CA">
      <w:pPr>
        <w:pStyle w:val="Prrafodelista"/>
        <w:spacing w:after="0" w:line="240" w:lineRule="auto"/>
        <w:ind w:left="0"/>
        <w:jc w:val="both"/>
      </w:pPr>
    </w:p>
    <w:p w:rsidR="0014216A" w:rsidRDefault="0014216A" w:rsidP="0014216A">
      <w:pPr>
        <w:pStyle w:val="Ttulo2"/>
      </w:pPr>
      <w:bookmarkStart w:id="57" w:name="_Toc341866758"/>
      <w:r>
        <w:t>Capacitación para la aplicación de la Ley</w:t>
      </w:r>
      <w:bookmarkEnd w:id="57"/>
    </w:p>
    <w:p w:rsidR="0014216A" w:rsidRPr="00872278" w:rsidRDefault="0014216A" w:rsidP="004B16CA">
      <w:pPr>
        <w:pStyle w:val="Prrafodelista"/>
        <w:spacing w:after="0" w:line="240" w:lineRule="auto"/>
        <w:ind w:left="0"/>
        <w:jc w:val="both"/>
      </w:pPr>
    </w:p>
    <w:p w:rsidR="001112AE" w:rsidRDefault="0014216A" w:rsidP="004B16CA">
      <w:pPr>
        <w:pStyle w:val="Prrafodelista"/>
        <w:spacing w:after="0" w:line="240" w:lineRule="auto"/>
        <w:ind w:left="0"/>
        <w:jc w:val="both"/>
      </w:pPr>
      <w:r>
        <w:t xml:space="preserve">Ante cualquier nuevo instrumento del que deban hacerse cargo instituciones y funcionarios, parece sensato esperar que existan procedimientos de aplicación claros y conocidos. La opinión de los encargados regionales de la aplicación de la Ley Nº 20.330 es clara en demandar una capacitación que otorgue mínimas claridades a su trabajo. </w:t>
      </w:r>
      <w:r w:rsidR="00741226">
        <w:t xml:space="preserve">También es un hecho que ha habido problemas entre los administradores financieros de las universidades. </w:t>
      </w:r>
      <w:r>
        <w:t xml:space="preserve">Frente a un cambio, por mínimo que sea, a la Ley misma, </w:t>
      </w:r>
      <w:r w:rsidR="00741226">
        <w:t xml:space="preserve">o a </w:t>
      </w:r>
      <w:r>
        <w:t xml:space="preserve">sus instrumentos y/o sus procedimientos, deberían programarse capacitaciones </w:t>
      </w:r>
      <w:r w:rsidR="00741226">
        <w:t>para todos los actores que deban intervenir en su aplicación. Éstas deberían ser tarea del responsable nacional que se determine para el programa (punto 10.1).</w:t>
      </w:r>
    </w:p>
    <w:p w:rsidR="0014216A" w:rsidRDefault="0014216A" w:rsidP="0014216A">
      <w:pPr>
        <w:pStyle w:val="Ttulo2"/>
        <w:numPr>
          <w:ilvl w:val="0"/>
          <w:numId w:val="0"/>
        </w:numPr>
        <w:ind w:left="360" w:hanging="360"/>
      </w:pPr>
    </w:p>
    <w:p w:rsidR="001112AE" w:rsidRPr="00534B28" w:rsidRDefault="001112AE" w:rsidP="00534B28">
      <w:pPr>
        <w:pStyle w:val="Ttulo2"/>
      </w:pPr>
      <w:bookmarkStart w:id="58" w:name="_Toc341866759"/>
      <w:r w:rsidRPr="00534B28">
        <w:t>Transición</w:t>
      </w:r>
      <w:bookmarkEnd w:id="58"/>
    </w:p>
    <w:p w:rsidR="001112AE" w:rsidRDefault="001112AE" w:rsidP="004B16CA">
      <w:pPr>
        <w:pStyle w:val="Prrafodelista"/>
        <w:spacing w:after="0" w:line="240" w:lineRule="auto"/>
        <w:ind w:left="0"/>
        <w:jc w:val="both"/>
      </w:pPr>
    </w:p>
    <w:p w:rsidR="00366F94" w:rsidRDefault="00366F94" w:rsidP="00366F94">
      <w:pPr>
        <w:pStyle w:val="Prrafodelista"/>
        <w:spacing w:after="0" w:line="240" w:lineRule="auto"/>
        <w:ind w:left="0"/>
        <w:jc w:val="both"/>
      </w:pPr>
      <w:r>
        <w:t>Una de las correcciones que requeriría la aplicación de la Ley Nº 20.330, en beneficio de su espíritu de focalización, sería, probablemente, la reducción del número de comunas receptoras (una línea de corte más exigente para determinar su “menor desarrollo”). Sin embargo, una reducción en un único acto generará que ciertos beneficiarios pierdan continuidad en su desempeño y, por lo tanto, pierdan también el beneficio</w:t>
      </w:r>
      <w:r w:rsidR="00F47C80">
        <w:t xml:space="preserve"> adicional</w:t>
      </w:r>
      <w:r>
        <w:t xml:space="preserve"> que pueden obtener tras 3 años de continuidad.</w:t>
      </w:r>
    </w:p>
    <w:p w:rsidR="00366F94" w:rsidRDefault="00366F94" w:rsidP="00366F94">
      <w:pPr>
        <w:pStyle w:val="Prrafodelista"/>
        <w:spacing w:after="0" w:line="240" w:lineRule="auto"/>
        <w:ind w:left="0"/>
        <w:jc w:val="both"/>
      </w:pPr>
    </w:p>
    <w:p w:rsidR="00366F94" w:rsidRDefault="00366F94" w:rsidP="00366F94">
      <w:pPr>
        <w:pStyle w:val="Prrafodelista"/>
        <w:spacing w:after="0" w:line="240" w:lineRule="auto"/>
        <w:ind w:left="0"/>
        <w:jc w:val="both"/>
      </w:pPr>
      <w:r>
        <w:t>Para hacer una reducción, entonces, se requeriría de un período de transición</w:t>
      </w:r>
      <w:r w:rsidR="00C96DBE">
        <w:t>. Durante este lapso, debería, por una parte, suspenderse</w:t>
      </w:r>
      <w:r>
        <w:t xml:space="preserve"> la incorporación de nuevos beneficiarios y, por la otra, </w:t>
      </w:r>
      <w:r w:rsidR="00C96DBE">
        <w:t xml:space="preserve">considerarse expirados </w:t>
      </w:r>
      <w:r>
        <w:t>los cupos utilizados que cumplan sus tres años de continuidad</w:t>
      </w:r>
      <w:r w:rsidR="00C96DBE">
        <w:t xml:space="preserve"> y también aquellos cupos que no sean utilizados desde el primer año de la transición</w:t>
      </w:r>
      <w:r>
        <w:t>.</w:t>
      </w:r>
    </w:p>
    <w:p w:rsidR="00366F94" w:rsidRDefault="00366F94" w:rsidP="00366F94">
      <w:pPr>
        <w:pStyle w:val="Prrafodelista"/>
        <w:spacing w:after="0" w:line="240" w:lineRule="auto"/>
        <w:ind w:left="0"/>
        <w:jc w:val="both"/>
      </w:pPr>
    </w:p>
    <w:p w:rsidR="001112AE" w:rsidRDefault="001112AE" w:rsidP="004B16CA">
      <w:pPr>
        <w:spacing w:after="0" w:line="240" w:lineRule="auto"/>
        <w:jc w:val="both"/>
      </w:pPr>
    </w:p>
    <w:p w:rsidR="001112AE" w:rsidRDefault="001112AE" w:rsidP="001112AE">
      <w:pPr>
        <w:spacing w:after="0" w:line="240" w:lineRule="auto"/>
        <w:jc w:val="both"/>
      </w:pPr>
    </w:p>
    <w:p w:rsidR="00311A5E" w:rsidRPr="001112AE" w:rsidRDefault="001112AE" w:rsidP="001112AE">
      <w:pPr>
        <w:spacing w:after="0" w:line="240" w:lineRule="auto"/>
        <w:jc w:val="center"/>
        <w:rPr>
          <w:b/>
        </w:rPr>
      </w:pPr>
      <w:r>
        <w:rPr>
          <w:b/>
        </w:rPr>
        <w:t>_______________________</w:t>
      </w:r>
    </w:p>
    <w:sectPr w:rsidR="00311A5E" w:rsidRPr="001112AE" w:rsidSect="00655262">
      <w:footerReference w:type="default" r:id="rId30"/>
      <w:pgSz w:w="12240" w:h="15840"/>
      <w:pgMar w:top="1417" w:right="1701" w:bottom="1417"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4B2C" w:rsidRDefault="00144B2C" w:rsidP="00072359">
      <w:pPr>
        <w:spacing w:after="0" w:line="240" w:lineRule="auto"/>
      </w:pPr>
      <w:r>
        <w:separator/>
      </w:r>
    </w:p>
  </w:endnote>
  <w:endnote w:type="continuationSeparator" w:id="0">
    <w:p w:rsidR="00144B2C" w:rsidRDefault="00144B2C" w:rsidP="000723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9383322"/>
      <w:docPartObj>
        <w:docPartGallery w:val="Page Numbers (Bottom of Page)"/>
        <w:docPartUnique/>
      </w:docPartObj>
    </w:sdtPr>
    <w:sdtEndPr/>
    <w:sdtContent>
      <w:p w:rsidR="001D034A" w:rsidRDefault="001D034A">
        <w:pPr>
          <w:pStyle w:val="Piedepgina"/>
        </w:pPr>
        <w:r>
          <w:rPr>
            <w:noProof/>
            <w:lang w:eastAsia="es-CL"/>
          </w:rPr>
          <mc:AlternateContent>
            <mc:Choice Requires="wpg">
              <w:drawing>
                <wp:anchor distT="0" distB="0" distL="114300" distR="114300" simplePos="0" relativeHeight="251659264" behindDoc="0" locked="0" layoutInCell="1" allowOverlap="1" wp14:anchorId="20916EEC" wp14:editId="06591DEB">
                  <wp:simplePos x="0" y="0"/>
                  <wp:positionH relativeFrom="page">
                    <wp:align>center</wp:align>
                  </wp:positionH>
                  <wp:positionV relativeFrom="bottomMargin">
                    <wp:align>center</wp:align>
                  </wp:positionV>
                  <wp:extent cx="7781925" cy="190500"/>
                  <wp:effectExtent l="9525" t="9525" r="9525" b="0"/>
                  <wp:wrapNone/>
                  <wp:docPr id="642" name="Grupo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38" cy="190500"/>
                            <a:chOff x="0" y="14970"/>
                            <a:chExt cx="12255" cy="300"/>
                          </a:xfrm>
                        </wpg:grpSpPr>
                        <wps:wsp>
                          <wps:cNvPr id="643" name="Text Box 25"/>
                          <wps:cNvSpPr txBox="1">
                            <a:spLocks noChangeArrowheads="1"/>
                          </wps:cNvSpPr>
                          <wps:spPr bwMode="auto">
                            <a:xfrm>
                              <a:off x="10803" y="14982"/>
                              <a:ext cx="659" cy="28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D034A" w:rsidRDefault="001D034A">
                                <w:pPr>
                                  <w:jc w:val="center"/>
                                </w:pPr>
                                <w:r>
                                  <w:fldChar w:fldCharType="begin"/>
                                </w:r>
                                <w:r>
                                  <w:instrText>PAGE    \* MERGEFORMAT</w:instrText>
                                </w:r>
                                <w:r>
                                  <w:fldChar w:fldCharType="separate"/>
                                </w:r>
                                <w:r w:rsidR="0092318E" w:rsidRPr="0092318E">
                                  <w:rPr>
                                    <w:noProof/>
                                    <w:color w:val="8C8C8C" w:themeColor="background1" w:themeShade="8C"/>
                                    <w:lang w:val="es-ES"/>
                                  </w:rPr>
                                  <w:t>3</w:t>
                                </w:r>
                                <w:r>
                                  <w:rPr>
                                    <w:color w:val="8C8C8C" w:themeColor="background1" w:themeShade="8C"/>
                                  </w:rPr>
                                  <w:fldChar w:fldCharType="end"/>
                                </w:r>
                              </w:p>
                            </w:txbxContent>
                          </wps:txbx>
                          <wps:bodyPr rot="0" vert="horz" wrap="square" lIns="0" tIns="0" rIns="0" bIns="0" anchor="t" anchorCtr="0" upright="1">
                            <a:noAutofit/>
                          </wps:bodyPr>
                        </wps:wsp>
                        <wpg:grpSp>
                          <wpg:cNvPr id="644" name="Group 31"/>
                          <wpg:cNvGrpSpPr>
                            <a:grpSpLocks/>
                          </wpg:cNvGrpSpPr>
                          <wpg:grpSpPr bwMode="auto">
                            <a:xfrm flipH="1">
                              <a:off x="0" y="14970"/>
                              <a:ext cx="12255" cy="230"/>
                              <a:chOff x="-8" y="14978"/>
                              <a:chExt cx="12255" cy="230"/>
                            </a:xfrm>
                          </wpg:grpSpPr>
                          <wps:wsp>
                            <wps:cNvPr id="64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64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Grupo 33" o:spid="_x0000_s1026" style="position:absolute;margin-left:0;margin-top:0;width:612.7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y7PcUA&#10;AADcAAAADwAAAGRycy9kb3ducmV2LnhtbESPQWvCQBSE7wX/w/IK3uqmVYKNriLSgiBIYzz0+Mw+&#10;k8Xs2zS7avrvu0LB4zAz3zDzZW8bcaXOG8cKXkcJCOLSacOVgkPx+TIF4QOyxsYxKfglD8vF4GmO&#10;mXY3zum6D5WIEPYZKqhDaDMpfVmTRT9yLXH0Tq6zGKLsKqk7vEW4beRbkqTSouG4UGNL65rK8/5i&#10;Fay+Of8wP7vjV37KTVG8J7xNz0oNn/vVDESgPjzC/+2NVpBOx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zLs9xQAAANwAAAAPAAAAAAAAAAAAAAAAAJgCAABkcnMv&#10;ZG93bnJldi54bWxQSwUGAAAAAAQABAD1AAAAigMAAAAA&#10;" filled="f" stroked="f">
                    <v:textbox inset="0,0,0,0">
                      <w:txbxContent>
                        <w:p w:rsidR="001D034A" w:rsidRDefault="001D034A">
                          <w:pPr>
                            <w:jc w:val="center"/>
                          </w:pPr>
                          <w:r>
                            <w:fldChar w:fldCharType="begin"/>
                          </w:r>
                          <w:r>
                            <w:instrText>PAGE    \* MERGEFORMAT</w:instrText>
                          </w:r>
                          <w:r>
                            <w:fldChar w:fldCharType="separate"/>
                          </w:r>
                          <w:r w:rsidR="0092318E" w:rsidRPr="0092318E">
                            <w:rPr>
                              <w:noProof/>
                              <w:color w:val="8C8C8C" w:themeColor="background1" w:themeShade="8C"/>
                              <w:lang w:val="es-ES"/>
                            </w:rPr>
                            <w:t>3</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mRrCwwAAANwAAAAP&#10;AAAAAAAAAAAAAAAAAKoCAABkcnMvZG93bnJldi54bWxQSwUGAAAAAAQABAD6AAAAmg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2sIcQAAADcAAAADwAAAGRycy9kb3ducmV2LnhtbESPQYvCMBSE78L+h/AWvIimK6tINYos&#10;SL140FXY47N5NsXmpTRRq79+Iwgeh5n5hpktWluJKzW+dKzga5CAIM6dLrlQsP9d9ScgfEDWWDkm&#10;BXfysJh/dGaYanfjLV13oRARwj5FBSaEOpXS54Ys+oGriaN3co3FEGVTSN3gLcJtJYdJMpYWS44L&#10;Bmv6MZSfdxeroOcTechHfybrZZvjQx94v7SZUt3PdjkFEagN7/CrvdYKxt8jeJ6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bawhxAAAANwAAAAPAAAAAAAAAAAA&#10;AAAAAKECAABkcnMvZG93bnJldi54bWxQSwUGAAAAAAQABAD5AAAAkgMAAAAA&#10;" strokecolor="#a5a5a5"/>
                    <v:shape id="AutoShape 28" o:spid="_x0000_s1030"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ZDt8YAAADcAAAADwAAAGRycy9kb3ducmV2LnhtbESPQWvCQBSE70L/w/IKvUjdVEqQ6Cqh&#10;QSlIodpccntkn0k0+zZkNxr/fbdQ8DjMzDfMajOaVlypd41lBW+zCARxaXXDlYL8Z/u6AOE8ssbW&#10;Mim4k4PN+mmywkTbGx/oevSVCBB2CSqove8SKV1Zk0E3sx1x8E62N+iD7Cupe7wFuGnlPIpiabDh&#10;sFBjRx81lZfjYBR8HXb5pZBDNh+bdHrGfVacvzOlXp7HdAnC0+gf4f/2p1YQv8fwdyYcAbn+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a2Q7fGAAAA3AAAAA8AAAAAAAAA&#10;AAAAAAAAoQIAAGRycy9kb3ducmV2LnhtbFBLBQYAAAAABAAEAPkAAACUAw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4B2C" w:rsidRDefault="00144B2C" w:rsidP="00072359">
      <w:pPr>
        <w:spacing w:after="0" w:line="240" w:lineRule="auto"/>
      </w:pPr>
      <w:r>
        <w:separator/>
      </w:r>
    </w:p>
  </w:footnote>
  <w:footnote w:type="continuationSeparator" w:id="0">
    <w:p w:rsidR="00144B2C" w:rsidRDefault="00144B2C" w:rsidP="00072359">
      <w:pPr>
        <w:spacing w:after="0" w:line="240" w:lineRule="auto"/>
      </w:pPr>
      <w:r>
        <w:continuationSeparator/>
      </w:r>
    </w:p>
  </w:footnote>
  <w:footnote w:id="1">
    <w:p w:rsidR="001D034A" w:rsidRPr="00057D50" w:rsidRDefault="001D034A" w:rsidP="0038276C">
      <w:pPr>
        <w:pStyle w:val="Textonotapie"/>
        <w:jc w:val="both"/>
      </w:pPr>
      <w:r>
        <w:rPr>
          <w:rStyle w:val="Refdenotaalpie"/>
        </w:rPr>
        <w:footnoteRef/>
      </w:r>
      <w:r>
        <w:t xml:space="preserve"> Para efectos de evitar confusiones en la redacción de este informe, eventualmente nos referiremos a la iniciativa legal como un “programa”, aunque en estricto rigor no lo sea.</w:t>
      </w:r>
    </w:p>
  </w:footnote>
  <w:footnote w:id="2">
    <w:p w:rsidR="001D034A" w:rsidRPr="00F957EB" w:rsidRDefault="001D034A" w:rsidP="002C1BCD">
      <w:pPr>
        <w:pStyle w:val="Textonotapie"/>
        <w:jc w:val="both"/>
        <w:rPr>
          <w:lang w:val="es-ES"/>
        </w:rPr>
      </w:pPr>
      <w:r>
        <w:rPr>
          <w:rStyle w:val="Refdenotaalpie"/>
        </w:rPr>
        <w:footnoteRef/>
      </w:r>
      <w:r>
        <w:t xml:space="preserve"> Textual del mensaje del proyecto de ley; e</w:t>
      </w:r>
      <w:r>
        <w:rPr>
          <w:lang w:val="es-ES"/>
        </w:rPr>
        <w:t>l destacado es nuestro.</w:t>
      </w:r>
    </w:p>
  </w:footnote>
  <w:footnote w:id="3">
    <w:p w:rsidR="001D034A" w:rsidRPr="00F957EB" w:rsidRDefault="001D034A" w:rsidP="002C1BCD">
      <w:pPr>
        <w:pStyle w:val="Textonotapie"/>
        <w:jc w:val="both"/>
        <w:rPr>
          <w:lang w:val="es-ES"/>
        </w:rPr>
      </w:pPr>
      <w:r>
        <w:rPr>
          <w:rStyle w:val="Refdenotaalpie"/>
        </w:rPr>
        <w:footnoteRef/>
      </w:r>
      <w:r>
        <w:t xml:space="preserve"> Textual del mensaje del proyecto de ley; e</w:t>
      </w:r>
      <w:r>
        <w:rPr>
          <w:lang w:val="es-ES"/>
        </w:rPr>
        <w:t>l destacado es nuestro.</w:t>
      </w:r>
    </w:p>
  </w:footnote>
  <w:footnote w:id="4">
    <w:p w:rsidR="001D034A" w:rsidRPr="002944CD" w:rsidRDefault="001D034A" w:rsidP="002C1BCD">
      <w:pPr>
        <w:pStyle w:val="Textonotapie"/>
        <w:jc w:val="both"/>
      </w:pPr>
      <w:r>
        <w:rPr>
          <w:rStyle w:val="Refdenotaalpie"/>
        </w:rPr>
        <w:footnoteRef/>
      </w:r>
      <w:r>
        <w:t xml:space="preserve"> El destacado es nuestro.</w:t>
      </w:r>
    </w:p>
  </w:footnote>
  <w:footnote w:id="5">
    <w:p w:rsidR="001D034A" w:rsidRPr="002C1BCD" w:rsidRDefault="001D034A" w:rsidP="002C1BCD">
      <w:pPr>
        <w:pStyle w:val="Textonotapie"/>
        <w:jc w:val="both"/>
      </w:pPr>
      <w:r>
        <w:rPr>
          <w:rStyle w:val="Refdenotaalpie"/>
        </w:rPr>
        <w:footnoteRef/>
      </w:r>
      <w:r>
        <w:t xml:space="preserve"> </w:t>
      </w:r>
      <w:r w:rsidRPr="002C1BCD">
        <w:t>La Ley Nº 19.287 establece un fondo solidario de crédito universitario para cada una de las instituciones de educación superior que reciben aporte del Estado. La priorización de los alumnos para asignar (o no) el crédito responde a evaluación socioeconómica. La deuda contraída está sujeta a un interés del 2% anual, sobre el monto calculado en Unidades Tributarias Mensuales. El deudor estará obligado a pagar anualmente el 5% de su renta (renta bruta menos los descuentos legales), hasta durante 12 años, o 15 años si la deuda inicial es superior a 200 UTM, después de lo cual el saldo adeudado quedará condonado. La administración del crédito corresponde inicialmente a los administradores financieros de cada institución de formación superior, los que estarán facultados para vender la deuda a otras instituciones y a celebrar convenios o constituir sociedades de recaudación y cobranza.</w:t>
      </w:r>
    </w:p>
  </w:footnote>
  <w:footnote w:id="6">
    <w:p w:rsidR="001D034A" w:rsidRPr="002C1BCD" w:rsidRDefault="001D034A" w:rsidP="002C1BCD">
      <w:pPr>
        <w:pStyle w:val="Textonotapie"/>
        <w:jc w:val="both"/>
      </w:pPr>
      <w:r>
        <w:rPr>
          <w:rStyle w:val="Refdenotaalpie"/>
        </w:rPr>
        <w:footnoteRef/>
      </w:r>
      <w:r>
        <w:t xml:space="preserve"> </w:t>
      </w:r>
      <w:r w:rsidRPr="002C1BCD">
        <w:t>La Ley Nº 20.027 crea la Comisión Administradora del Sistema de Créditos para Estudios Superiores (conocida como Comisión Ingresa</w:t>
      </w:r>
      <w:r>
        <w:t>, formada por el Ministro de Educación, el Director de Presupuestos del Ministerio de Hacienda, el Tesorero General de la República, el Vicepresidente Ejecutivo  de CORFO y tres representantes de las instituciones de educación superior contempladas en letras a), b) y c) del artículo 29 de la Ley Nº 18.962</w:t>
      </w:r>
      <w:r w:rsidRPr="002C1BCD">
        <w:t>)</w:t>
      </w:r>
      <w:r>
        <w:t>.</w:t>
      </w:r>
      <w:r w:rsidRPr="002C1BCD">
        <w:t xml:space="preserve"> </w:t>
      </w:r>
      <w:r>
        <w:t xml:space="preserve">El </w:t>
      </w:r>
      <w:r w:rsidRPr="002C1BCD">
        <w:t xml:space="preserve">objetivo </w:t>
      </w:r>
      <w:r>
        <w:t>de la Comisión “</w:t>
      </w:r>
      <w:r w:rsidRPr="002C1BCD">
        <w:t>es definir y evaluar políticas para el desarrollo e implementación de instrumentos de financiamiento para estudios de educación superior; celebrar los convenios con entidades públicas o privadas, nacionales o extranjeras, necesarios para su puesta en marcha, y administrar el sistema de créditos de educación superior con garantía estatal”</w:t>
      </w:r>
      <w:r>
        <w:t>.</w:t>
      </w:r>
      <w:r w:rsidRPr="002C1BCD">
        <w:t xml:space="preserve"> Define que el Fisco garantiza los créditos para estudios superiores otorgados por instituciones financieras –según disponibilidad de fondos establecida por la Ley anual de Presupuestos</w:t>
      </w:r>
      <w:r>
        <w:t xml:space="preserve"> y para las instituciones de educación superior que cumplen ciertos requisitos</w:t>
      </w:r>
      <w:r w:rsidRPr="002C1BCD">
        <w:t>–. La garantía se hace efectiva en caso de no pago de la deuda por parte del beneficiario. Si cumplen todos los requisitos administrativos, los alumnos beneficiarios de los créditos son priorizados en virtud de sus condiciones socioeconómicas. En caso de no pago, la Tesorería General de la República puede imputar el cobro de la deuda a la devolución anual de impuestos a la renta que corresponda al deudor. También, la Ley autoriza a los bancos e instituciones financieras, entre otras, a abrir y mantener planes de ahorro para el financiamiento de estudios superiores, con derecho a subsidio estatal al ahorrante si éste cumple ciertos requisitos.</w:t>
      </w:r>
    </w:p>
  </w:footnote>
  <w:footnote w:id="7">
    <w:p w:rsidR="001D034A" w:rsidRPr="00666ACA" w:rsidRDefault="001D034A" w:rsidP="002C1BCD">
      <w:pPr>
        <w:pStyle w:val="Textonotapie"/>
        <w:jc w:val="both"/>
      </w:pPr>
      <w:r>
        <w:rPr>
          <w:rStyle w:val="Refdenotaalpie"/>
        </w:rPr>
        <w:footnoteRef/>
      </w:r>
      <w:r>
        <w:t xml:space="preserve"> Textual del inciso primero del artículo 1º de la Ley Nº 20.330; el destacado es nuestro.</w:t>
      </w:r>
    </w:p>
  </w:footnote>
  <w:footnote w:id="8">
    <w:p w:rsidR="001D034A" w:rsidRPr="00A42630" w:rsidRDefault="001D034A" w:rsidP="002C1BCD">
      <w:pPr>
        <w:pStyle w:val="Textonotapie"/>
        <w:jc w:val="both"/>
      </w:pPr>
      <w:r>
        <w:rPr>
          <w:rStyle w:val="Refdenotaalpie"/>
        </w:rPr>
        <w:footnoteRef/>
      </w:r>
      <w:r>
        <w:t xml:space="preserve"> Partida 50 (Tesoro Público, Fisco), Capítulo 01, Programa 02 (Subsidios), Asignación 023 (Beneficio Ley Nº 20.330 para Deudores Crédito Universitario, leyes Nº 19.287 y 20.027); glosa 08 establece 292 beneficiarios para 2012.</w:t>
      </w:r>
    </w:p>
  </w:footnote>
  <w:footnote w:id="9">
    <w:p w:rsidR="001D034A" w:rsidRPr="00072359" w:rsidRDefault="001D034A" w:rsidP="00970E8E">
      <w:pPr>
        <w:pStyle w:val="Textonotapie"/>
        <w:jc w:val="both"/>
        <w:rPr>
          <w:lang w:val="es-ES"/>
        </w:rPr>
      </w:pPr>
      <w:r>
        <w:rPr>
          <w:rStyle w:val="Refdenotaalpie"/>
        </w:rPr>
        <w:footnoteRef/>
      </w:r>
      <w:r>
        <w:t xml:space="preserve"> El artículo 5º de la Ley Nº 20.330 mandata que un decreto supremo expedido por el Ministerio del Interior determinará anualmente el número de beneficiarios por región. Por otro lado, según el artículo 12º del reglamento de la ley (Decreto Nº 403 de 2009, del Ministerio del Interior), la SUBDERE calculará los indicadores que permitirán asignar un puntaje a cada comuna del país, lo que a su vez determinará un ranking del nivel de desarrollo de todas las comunas; y según el artículo 13º del mismo reglamento, también por decreto anual del Ministerio del Interior, suscrito además por el Ministro de Hacienda, se estableceré anualmente un puntaje de corte que definirá cuáles son las comunas con menor desarrollo</w:t>
      </w:r>
      <w:r>
        <w:rPr>
          <w:lang w:val="es-ES"/>
        </w:rPr>
        <w:t xml:space="preserve"> y que podrán optar a cupos. En la práctica, es el mismo decreto el que establece número de cupos por región y listado de comunas que pueden acceder a cupos.</w:t>
      </w:r>
    </w:p>
  </w:footnote>
  <w:footnote w:id="10">
    <w:p w:rsidR="001D034A" w:rsidRPr="009A2E63" w:rsidRDefault="001D034A">
      <w:pPr>
        <w:pStyle w:val="Textonotapie"/>
      </w:pPr>
      <w:r>
        <w:rPr>
          <w:rStyle w:val="Refdenotaalpie"/>
        </w:rPr>
        <w:footnoteRef/>
      </w:r>
      <w:r>
        <w:t xml:space="preserve"> Ver en anexo, metodologías de las regiones.</w:t>
      </w:r>
    </w:p>
  </w:footnote>
  <w:footnote w:id="11">
    <w:p w:rsidR="001D034A" w:rsidRPr="00077E29" w:rsidRDefault="001D034A">
      <w:pPr>
        <w:pStyle w:val="Textonotapie"/>
      </w:pPr>
      <w:r>
        <w:rPr>
          <w:rStyle w:val="Refdenotaalpie"/>
        </w:rPr>
        <w:footnoteRef/>
      </w:r>
      <w:r>
        <w:t xml:space="preserve"> Textual del inciso primero del artículo 1º de la Ley Nº 20.330; el destacado es nuestro.</w:t>
      </w:r>
    </w:p>
  </w:footnote>
  <w:footnote w:id="12">
    <w:p w:rsidR="001D034A" w:rsidRPr="006A0BCA" w:rsidRDefault="001D034A">
      <w:pPr>
        <w:pStyle w:val="Textonotapie"/>
      </w:pPr>
      <w:r>
        <w:rPr>
          <w:rStyle w:val="Refdenotaalpie"/>
        </w:rPr>
        <w:footnoteRef/>
      </w:r>
      <w:r>
        <w:t xml:space="preserve"> El destacado es nuestro.</w:t>
      </w:r>
    </w:p>
  </w:footnote>
  <w:footnote w:id="13">
    <w:p w:rsidR="001D034A" w:rsidRPr="00B76C20" w:rsidRDefault="001D034A">
      <w:pPr>
        <w:pStyle w:val="Textonotapie"/>
      </w:pPr>
      <w:r>
        <w:rPr>
          <w:rStyle w:val="Refdenotaalpie"/>
        </w:rPr>
        <w:footnoteRef/>
      </w:r>
      <w:r>
        <w:t xml:space="preserve"> Llama la atención que aparezcan con deuda profesionales titulados hace más de 20 años, ya que la ley Nº 19.087 establece que pasados 12 años, el remanente de la deuda se condona. Podría tratarse de deudores por la Ley Nº 20.027, pero el dato no fue verificado para este informe.</w:t>
      </w:r>
    </w:p>
  </w:footnote>
  <w:footnote w:id="14">
    <w:p w:rsidR="001D034A" w:rsidRPr="00226CE5" w:rsidRDefault="001D034A" w:rsidP="00AB198F">
      <w:pPr>
        <w:pStyle w:val="Textonotapie"/>
        <w:jc w:val="both"/>
        <w:rPr>
          <w:lang w:val="es-ES"/>
        </w:rPr>
      </w:pPr>
      <w:r>
        <w:rPr>
          <w:rStyle w:val="Refdenotaalpie"/>
        </w:rPr>
        <w:footnoteRef/>
      </w:r>
      <w:r>
        <w:t xml:space="preserve"> </w:t>
      </w:r>
      <w:r>
        <w:rPr>
          <w:lang w:val="es-ES"/>
        </w:rPr>
        <w:t>De los 198 beneficios entregados en 2011, 22 corresponden a pago por servicios profesionales prestados en 2009 (esto es que fueron pagados con un año de retraso, por razones simplemente administrativas). Por lo tanto los profesionales beneficiarios efectivos de 2011 sólo son 176. Por lo tanto, para efectos del financiamiento otorgado por la Ley de Presupuestos para 2011, éste fue ocupado en un 88,0 %.</w:t>
      </w:r>
    </w:p>
  </w:footnote>
  <w:footnote w:id="15">
    <w:p w:rsidR="001D034A" w:rsidRPr="007D525F" w:rsidRDefault="001D034A">
      <w:pPr>
        <w:pStyle w:val="Textonotapie"/>
        <w:rPr>
          <w:lang w:val="es-ES"/>
        </w:rPr>
      </w:pPr>
      <w:r>
        <w:rPr>
          <w:rStyle w:val="Refdenotaalpie"/>
        </w:rPr>
        <w:footnoteRef/>
      </w:r>
      <w:r>
        <w:t xml:space="preserve"> Inciso tercero del a</w:t>
      </w:r>
      <w:proofErr w:type="spellStart"/>
      <w:r>
        <w:rPr>
          <w:lang w:val="es-ES"/>
        </w:rPr>
        <w:t>rtículo</w:t>
      </w:r>
      <w:proofErr w:type="spellEnd"/>
      <w:r>
        <w:rPr>
          <w:lang w:val="es-ES"/>
        </w:rPr>
        <w:t xml:space="preserve"> 1º de la Ley Nº 20.330 y artículo 14 del Decreto Nº 403, Reglamento de la Ley.</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CCA367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427714B"/>
    <w:multiLevelType w:val="hybridMultilevel"/>
    <w:tmpl w:val="898AD9F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1DBE4A4F"/>
    <w:multiLevelType w:val="hybridMultilevel"/>
    <w:tmpl w:val="FC98ECE0"/>
    <w:lvl w:ilvl="0" w:tplc="340A0001">
      <w:start w:val="1"/>
      <w:numFmt w:val="bullet"/>
      <w:lvlText w:val=""/>
      <w:lvlJc w:val="left"/>
      <w:pPr>
        <w:ind w:left="360" w:hanging="360"/>
      </w:pPr>
      <w:rPr>
        <w:rFonts w:ascii="Symbol" w:hAnsi="Symbol" w:hint="default"/>
      </w:rPr>
    </w:lvl>
    <w:lvl w:ilvl="1" w:tplc="340A0003">
      <w:start w:val="1"/>
      <w:numFmt w:val="bullet"/>
      <w:lvlText w:val="o"/>
      <w:lvlJc w:val="left"/>
      <w:pPr>
        <w:ind w:left="1080" w:hanging="360"/>
      </w:pPr>
      <w:rPr>
        <w:rFonts w:ascii="Courier New" w:hAnsi="Courier New" w:cs="Courier New" w:hint="default"/>
      </w:rPr>
    </w:lvl>
    <w:lvl w:ilvl="2" w:tplc="340A0005">
      <w:start w:val="1"/>
      <w:numFmt w:val="bullet"/>
      <w:lvlText w:val=""/>
      <w:lvlJc w:val="left"/>
      <w:pPr>
        <w:ind w:left="1800" w:hanging="360"/>
      </w:pPr>
      <w:rPr>
        <w:rFonts w:ascii="Wingdings" w:hAnsi="Wingdings" w:hint="default"/>
      </w:rPr>
    </w:lvl>
    <w:lvl w:ilvl="3" w:tplc="340A0001">
      <w:start w:val="1"/>
      <w:numFmt w:val="bullet"/>
      <w:lvlText w:val=""/>
      <w:lvlJc w:val="left"/>
      <w:pPr>
        <w:ind w:left="2520" w:hanging="360"/>
      </w:pPr>
      <w:rPr>
        <w:rFonts w:ascii="Symbol" w:hAnsi="Symbol" w:hint="default"/>
      </w:rPr>
    </w:lvl>
    <w:lvl w:ilvl="4" w:tplc="340A0003">
      <w:start w:val="1"/>
      <w:numFmt w:val="bullet"/>
      <w:lvlText w:val="o"/>
      <w:lvlJc w:val="left"/>
      <w:pPr>
        <w:ind w:left="3240" w:hanging="360"/>
      </w:pPr>
      <w:rPr>
        <w:rFonts w:ascii="Courier New" w:hAnsi="Courier New" w:cs="Courier New" w:hint="default"/>
      </w:rPr>
    </w:lvl>
    <w:lvl w:ilvl="5" w:tplc="340A0005">
      <w:start w:val="1"/>
      <w:numFmt w:val="bullet"/>
      <w:lvlText w:val=""/>
      <w:lvlJc w:val="left"/>
      <w:pPr>
        <w:ind w:left="3960" w:hanging="360"/>
      </w:pPr>
      <w:rPr>
        <w:rFonts w:ascii="Wingdings" w:hAnsi="Wingdings" w:hint="default"/>
      </w:rPr>
    </w:lvl>
    <w:lvl w:ilvl="6" w:tplc="340A0001">
      <w:start w:val="1"/>
      <w:numFmt w:val="bullet"/>
      <w:lvlText w:val=""/>
      <w:lvlJc w:val="left"/>
      <w:pPr>
        <w:ind w:left="4680" w:hanging="360"/>
      </w:pPr>
      <w:rPr>
        <w:rFonts w:ascii="Symbol" w:hAnsi="Symbol" w:hint="default"/>
      </w:rPr>
    </w:lvl>
    <w:lvl w:ilvl="7" w:tplc="340A0003">
      <w:start w:val="1"/>
      <w:numFmt w:val="bullet"/>
      <w:lvlText w:val="o"/>
      <w:lvlJc w:val="left"/>
      <w:pPr>
        <w:ind w:left="5400" w:hanging="360"/>
      </w:pPr>
      <w:rPr>
        <w:rFonts w:ascii="Courier New" w:hAnsi="Courier New" w:cs="Courier New" w:hint="default"/>
      </w:rPr>
    </w:lvl>
    <w:lvl w:ilvl="8" w:tplc="340A0005">
      <w:start w:val="1"/>
      <w:numFmt w:val="bullet"/>
      <w:lvlText w:val=""/>
      <w:lvlJc w:val="left"/>
      <w:pPr>
        <w:ind w:left="6120" w:hanging="360"/>
      </w:pPr>
      <w:rPr>
        <w:rFonts w:ascii="Wingdings" w:hAnsi="Wingdings" w:hint="default"/>
      </w:rPr>
    </w:lvl>
  </w:abstractNum>
  <w:abstractNum w:abstractNumId="3">
    <w:nsid w:val="1F5A06FD"/>
    <w:multiLevelType w:val="hybridMultilevel"/>
    <w:tmpl w:val="7946030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nsid w:val="22001A38"/>
    <w:multiLevelType w:val="hybridMultilevel"/>
    <w:tmpl w:val="2A52D8D0"/>
    <w:lvl w:ilvl="0" w:tplc="1F0ED3E6">
      <w:start w:val="1"/>
      <w:numFmt w:val="lowerLetter"/>
      <w:lvlText w:val="%1)"/>
      <w:lvlJc w:val="left"/>
      <w:pPr>
        <w:ind w:left="720" w:hanging="360"/>
      </w:pPr>
      <w:rPr>
        <w:rFonts w:asciiTheme="minorHAnsi" w:eastAsiaTheme="minorHAnsi" w:hAnsiTheme="minorHAnsi" w:cstheme="minorBidi"/>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nsid w:val="2F620D83"/>
    <w:multiLevelType w:val="multilevel"/>
    <w:tmpl w:val="88FA4F38"/>
    <w:lvl w:ilvl="0">
      <w:start w:val="1"/>
      <w:numFmt w:val="decimal"/>
      <w:lvlText w:val="%1."/>
      <w:lvlJc w:val="left"/>
      <w:pPr>
        <w:ind w:left="360" w:hanging="360"/>
      </w:pPr>
      <w:rPr>
        <w:rFonts w:hint="default"/>
      </w:rPr>
    </w:lvl>
    <w:lvl w:ilvl="1">
      <w:start w:val="1"/>
      <w:numFmt w:val="decimal"/>
      <w:pStyle w:val="Ttulo2"/>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nsid w:val="36994CD1"/>
    <w:multiLevelType w:val="hybridMultilevel"/>
    <w:tmpl w:val="425AC36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nsid w:val="395C4C6E"/>
    <w:multiLevelType w:val="hybridMultilevel"/>
    <w:tmpl w:val="64A0D8E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nsid w:val="3BBD73A0"/>
    <w:multiLevelType w:val="hybridMultilevel"/>
    <w:tmpl w:val="0D96708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nsid w:val="41ED59DB"/>
    <w:multiLevelType w:val="hybridMultilevel"/>
    <w:tmpl w:val="639014EE"/>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nsid w:val="438A4D7C"/>
    <w:multiLevelType w:val="hybridMultilevel"/>
    <w:tmpl w:val="0A0A6C8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nsid w:val="5F7C5A47"/>
    <w:multiLevelType w:val="hybridMultilevel"/>
    <w:tmpl w:val="432C59C6"/>
    <w:lvl w:ilvl="0" w:tplc="340A0001">
      <w:start w:val="1"/>
      <w:numFmt w:val="bullet"/>
      <w:lvlText w:val=""/>
      <w:lvlJc w:val="left"/>
      <w:pPr>
        <w:ind w:left="770" w:hanging="360"/>
      </w:pPr>
      <w:rPr>
        <w:rFonts w:ascii="Symbol" w:hAnsi="Symbol" w:hint="default"/>
      </w:rPr>
    </w:lvl>
    <w:lvl w:ilvl="1" w:tplc="340A0003" w:tentative="1">
      <w:start w:val="1"/>
      <w:numFmt w:val="bullet"/>
      <w:lvlText w:val="o"/>
      <w:lvlJc w:val="left"/>
      <w:pPr>
        <w:ind w:left="1490" w:hanging="360"/>
      </w:pPr>
      <w:rPr>
        <w:rFonts w:ascii="Courier New" w:hAnsi="Courier New" w:cs="Courier New" w:hint="default"/>
      </w:rPr>
    </w:lvl>
    <w:lvl w:ilvl="2" w:tplc="340A0005" w:tentative="1">
      <w:start w:val="1"/>
      <w:numFmt w:val="bullet"/>
      <w:lvlText w:val=""/>
      <w:lvlJc w:val="left"/>
      <w:pPr>
        <w:ind w:left="2210" w:hanging="360"/>
      </w:pPr>
      <w:rPr>
        <w:rFonts w:ascii="Wingdings" w:hAnsi="Wingdings" w:hint="default"/>
      </w:rPr>
    </w:lvl>
    <w:lvl w:ilvl="3" w:tplc="340A0001" w:tentative="1">
      <w:start w:val="1"/>
      <w:numFmt w:val="bullet"/>
      <w:lvlText w:val=""/>
      <w:lvlJc w:val="left"/>
      <w:pPr>
        <w:ind w:left="2930" w:hanging="360"/>
      </w:pPr>
      <w:rPr>
        <w:rFonts w:ascii="Symbol" w:hAnsi="Symbol" w:hint="default"/>
      </w:rPr>
    </w:lvl>
    <w:lvl w:ilvl="4" w:tplc="340A0003" w:tentative="1">
      <w:start w:val="1"/>
      <w:numFmt w:val="bullet"/>
      <w:lvlText w:val="o"/>
      <w:lvlJc w:val="left"/>
      <w:pPr>
        <w:ind w:left="3650" w:hanging="360"/>
      </w:pPr>
      <w:rPr>
        <w:rFonts w:ascii="Courier New" w:hAnsi="Courier New" w:cs="Courier New" w:hint="default"/>
      </w:rPr>
    </w:lvl>
    <w:lvl w:ilvl="5" w:tplc="340A0005" w:tentative="1">
      <w:start w:val="1"/>
      <w:numFmt w:val="bullet"/>
      <w:lvlText w:val=""/>
      <w:lvlJc w:val="left"/>
      <w:pPr>
        <w:ind w:left="4370" w:hanging="360"/>
      </w:pPr>
      <w:rPr>
        <w:rFonts w:ascii="Wingdings" w:hAnsi="Wingdings" w:hint="default"/>
      </w:rPr>
    </w:lvl>
    <w:lvl w:ilvl="6" w:tplc="340A0001" w:tentative="1">
      <w:start w:val="1"/>
      <w:numFmt w:val="bullet"/>
      <w:lvlText w:val=""/>
      <w:lvlJc w:val="left"/>
      <w:pPr>
        <w:ind w:left="5090" w:hanging="360"/>
      </w:pPr>
      <w:rPr>
        <w:rFonts w:ascii="Symbol" w:hAnsi="Symbol" w:hint="default"/>
      </w:rPr>
    </w:lvl>
    <w:lvl w:ilvl="7" w:tplc="340A0003" w:tentative="1">
      <w:start w:val="1"/>
      <w:numFmt w:val="bullet"/>
      <w:lvlText w:val="o"/>
      <w:lvlJc w:val="left"/>
      <w:pPr>
        <w:ind w:left="5810" w:hanging="360"/>
      </w:pPr>
      <w:rPr>
        <w:rFonts w:ascii="Courier New" w:hAnsi="Courier New" w:cs="Courier New" w:hint="default"/>
      </w:rPr>
    </w:lvl>
    <w:lvl w:ilvl="8" w:tplc="340A0005" w:tentative="1">
      <w:start w:val="1"/>
      <w:numFmt w:val="bullet"/>
      <w:lvlText w:val=""/>
      <w:lvlJc w:val="left"/>
      <w:pPr>
        <w:ind w:left="6530" w:hanging="360"/>
      </w:pPr>
      <w:rPr>
        <w:rFonts w:ascii="Wingdings" w:hAnsi="Wingdings" w:hint="default"/>
      </w:rPr>
    </w:lvl>
  </w:abstractNum>
  <w:abstractNum w:abstractNumId="12">
    <w:nsid w:val="62161E8A"/>
    <w:multiLevelType w:val="hybridMultilevel"/>
    <w:tmpl w:val="6A129AB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3">
    <w:nsid w:val="6A94785D"/>
    <w:multiLevelType w:val="hybridMultilevel"/>
    <w:tmpl w:val="CB7A89F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13"/>
  </w:num>
  <w:num w:numId="2">
    <w:abstractNumId w:val="4"/>
  </w:num>
  <w:num w:numId="3">
    <w:abstractNumId w:val="9"/>
  </w:num>
  <w:num w:numId="4">
    <w:abstractNumId w:val="7"/>
  </w:num>
  <w:num w:numId="5">
    <w:abstractNumId w:val="5"/>
  </w:num>
  <w:num w:numId="6">
    <w:abstractNumId w:val="11"/>
  </w:num>
  <w:num w:numId="7">
    <w:abstractNumId w:val="1"/>
  </w:num>
  <w:num w:numId="8">
    <w:abstractNumId w:val="10"/>
  </w:num>
  <w:num w:numId="9">
    <w:abstractNumId w:val="0"/>
  </w:num>
  <w:num w:numId="10">
    <w:abstractNumId w:val="2"/>
  </w:num>
  <w:num w:numId="11">
    <w:abstractNumId w:val="3"/>
  </w:num>
  <w:num w:numId="12">
    <w:abstractNumId w:val="6"/>
  </w:num>
  <w:num w:numId="13">
    <w:abstractNumId w:val="8"/>
  </w:num>
  <w:num w:numId="14">
    <w:abstractNumId w:val="12"/>
  </w:num>
  <w:num w:numId="15">
    <w:abstractNumId w:val="5"/>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54E8"/>
    <w:rsid w:val="00003006"/>
    <w:rsid w:val="00007C41"/>
    <w:rsid w:val="00014E4F"/>
    <w:rsid w:val="00016330"/>
    <w:rsid w:val="00025338"/>
    <w:rsid w:val="0002588C"/>
    <w:rsid w:val="000351AE"/>
    <w:rsid w:val="000372B5"/>
    <w:rsid w:val="00045963"/>
    <w:rsid w:val="000546BB"/>
    <w:rsid w:val="0005671D"/>
    <w:rsid w:val="00056C70"/>
    <w:rsid w:val="00057D50"/>
    <w:rsid w:val="00061685"/>
    <w:rsid w:val="00062DB2"/>
    <w:rsid w:val="000637B9"/>
    <w:rsid w:val="00065523"/>
    <w:rsid w:val="000703E8"/>
    <w:rsid w:val="00071E78"/>
    <w:rsid w:val="00072359"/>
    <w:rsid w:val="00077E29"/>
    <w:rsid w:val="000801B8"/>
    <w:rsid w:val="000834D1"/>
    <w:rsid w:val="0008624C"/>
    <w:rsid w:val="00096E67"/>
    <w:rsid w:val="00097C03"/>
    <w:rsid w:val="000A1E83"/>
    <w:rsid w:val="000B597F"/>
    <w:rsid w:val="000B5CEE"/>
    <w:rsid w:val="000B65D1"/>
    <w:rsid w:val="000B7D5A"/>
    <w:rsid w:val="000C20E2"/>
    <w:rsid w:val="000C2DC5"/>
    <w:rsid w:val="000D0982"/>
    <w:rsid w:val="000D1311"/>
    <w:rsid w:val="000D161B"/>
    <w:rsid w:val="000D3464"/>
    <w:rsid w:val="000D3C12"/>
    <w:rsid w:val="000D75DE"/>
    <w:rsid w:val="000D7E4D"/>
    <w:rsid w:val="000F0C7E"/>
    <w:rsid w:val="000F58F5"/>
    <w:rsid w:val="001031EA"/>
    <w:rsid w:val="0011042C"/>
    <w:rsid w:val="001112AE"/>
    <w:rsid w:val="00116F65"/>
    <w:rsid w:val="00120C08"/>
    <w:rsid w:val="00123A02"/>
    <w:rsid w:val="00124BBE"/>
    <w:rsid w:val="0012716B"/>
    <w:rsid w:val="00136FD1"/>
    <w:rsid w:val="00140461"/>
    <w:rsid w:val="0014216A"/>
    <w:rsid w:val="00144B2C"/>
    <w:rsid w:val="00146DAF"/>
    <w:rsid w:val="00153D8B"/>
    <w:rsid w:val="001576AF"/>
    <w:rsid w:val="001577C4"/>
    <w:rsid w:val="001602B6"/>
    <w:rsid w:val="00175C51"/>
    <w:rsid w:val="0018613A"/>
    <w:rsid w:val="00187071"/>
    <w:rsid w:val="00187F70"/>
    <w:rsid w:val="00192FB1"/>
    <w:rsid w:val="00197B61"/>
    <w:rsid w:val="001A42C5"/>
    <w:rsid w:val="001A532D"/>
    <w:rsid w:val="001A7791"/>
    <w:rsid w:val="001A7EF2"/>
    <w:rsid w:val="001B6B83"/>
    <w:rsid w:val="001C0BC6"/>
    <w:rsid w:val="001C144A"/>
    <w:rsid w:val="001C425B"/>
    <w:rsid w:val="001C5245"/>
    <w:rsid w:val="001C6888"/>
    <w:rsid w:val="001D034A"/>
    <w:rsid w:val="001D2333"/>
    <w:rsid w:val="001E17A8"/>
    <w:rsid w:val="001E18FC"/>
    <w:rsid w:val="001E5C10"/>
    <w:rsid w:val="001F0698"/>
    <w:rsid w:val="001F13B1"/>
    <w:rsid w:val="001F5598"/>
    <w:rsid w:val="00201707"/>
    <w:rsid w:val="0020411A"/>
    <w:rsid w:val="002041DE"/>
    <w:rsid w:val="00217DFA"/>
    <w:rsid w:val="00226CE5"/>
    <w:rsid w:val="00231224"/>
    <w:rsid w:val="00231788"/>
    <w:rsid w:val="00236CB6"/>
    <w:rsid w:val="0023790F"/>
    <w:rsid w:val="00242DA1"/>
    <w:rsid w:val="002442C4"/>
    <w:rsid w:val="002451A0"/>
    <w:rsid w:val="00250DA8"/>
    <w:rsid w:val="0025499A"/>
    <w:rsid w:val="00266470"/>
    <w:rsid w:val="00274778"/>
    <w:rsid w:val="00274A07"/>
    <w:rsid w:val="00276894"/>
    <w:rsid w:val="002855E7"/>
    <w:rsid w:val="002944CD"/>
    <w:rsid w:val="00297883"/>
    <w:rsid w:val="002A328A"/>
    <w:rsid w:val="002A65CA"/>
    <w:rsid w:val="002A72EF"/>
    <w:rsid w:val="002B00DB"/>
    <w:rsid w:val="002B01E7"/>
    <w:rsid w:val="002B1ECA"/>
    <w:rsid w:val="002B3EEA"/>
    <w:rsid w:val="002B448D"/>
    <w:rsid w:val="002B4B64"/>
    <w:rsid w:val="002C1BCD"/>
    <w:rsid w:val="002C1FC0"/>
    <w:rsid w:val="002C29DC"/>
    <w:rsid w:val="002C5879"/>
    <w:rsid w:val="002D0E97"/>
    <w:rsid w:val="002D4FF4"/>
    <w:rsid w:val="002D7B3D"/>
    <w:rsid w:val="002E332B"/>
    <w:rsid w:val="002E3503"/>
    <w:rsid w:val="002E39EA"/>
    <w:rsid w:val="002E6791"/>
    <w:rsid w:val="002E7551"/>
    <w:rsid w:val="002F1430"/>
    <w:rsid w:val="002F3A1C"/>
    <w:rsid w:val="002F7074"/>
    <w:rsid w:val="00300164"/>
    <w:rsid w:val="0030181A"/>
    <w:rsid w:val="00301F9E"/>
    <w:rsid w:val="00311A5E"/>
    <w:rsid w:val="00317E6E"/>
    <w:rsid w:val="00320FCF"/>
    <w:rsid w:val="00327265"/>
    <w:rsid w:val="00332911"/>
    <w:rsid w:val="00335450"/>
    <w:rsid w:val="003421C8"/>
    <w:rsid w:val="003508BE"/>
    <w:rsid w:val="00353223"/>
    <w:rsid w:val="00355A36"/>
    <w:rsid w:val="003601DE"/>
    <w:rsid w:val="003634F3"/>
    <w:rsid w:val="00366F94"/>
    <w:rsid w:val="00371017"/>
    <w:rsid w:val="00374023"/>
    <w:rsid w:val="0038276C"/>
    <w:rsid w:val="00383F8B"/>
    <w:rsid w:val="00384A79"/>
    <w:rsid w:val="00396C09"/>
    <w:rsid w:val="003A63BA"/>
    <w:rsid w:val="003A7CB4"/>
    <w:rsid w:val="003C28AE"/>
    <w:rsid w:val="003C6A3C"/>
    <w:rsid w:val="003D58F5"/>
    <w:rsid w:val="003D6009"/>
    <w:rsid w:val="003D6AC6"/>
    <w:rsid w:val="003E201E"/>
    <w:rsid w:val="003E29D8"/>
    <w:rsid w:val="003E69F6"/>
    <w:rsid w:val="003F09BC"/>
    <w:rsid w:val="003F73D4"/>
    <w:rsid w:val="0040575F"/>
    <w:rsid w:val="00410716"/>
    <w:rsid w:val="00412E57"/>
    <w:rsid w:val="00420BEE"/>
    <w:rsid w:val="00426CB2"/>
    <w:rsid w:val="00431CFF"/>
    <w:rsid w:val="004415A0"/>
    <w:rsid w:val="00445C75"/>
    <w:rsid w:val="004470C7"/>
    <w:rsid w:val="00452016"/>
    <w:rsid w:val="00455077"/>
    <w:rsid w:val="004553A8"/>
    <w:rsid w:val="00462E29"/>
    <w:rsid w:val="004700E0"/>
    <w:rsid w:val="00471531"/>
    <w:rsid w:val="00492F1E"/>
    <w:rsid w:val="0049636A"/>
    <w:rsid w:val="00497167"/>
    <w:rsid w:val="0049786C"/>
    <w:rsid w:val="004A0F76"/>
    <w:rsid w:val="004B16CA"/>
    <w:rsid w:val="004B5377"/>
    <w:rsid w:val="004B6E19"/>
    <w:rsid w:val="004B7093"/>
    <w:rsid w:val="004C091E"/>
    <w:rsid w:val="004C6414"/>
    <w:rsid w:val="004D36DD"/>
    <w:rsid w:val="004F3D9D"/>
    <w:rsid w:val="00500E98"/>
    <w:rsid w:val="00501818"/>
    <w:rsid w:val="005035EB"/>
    <w:rsid w:val="00511476"/>
    <w:rsid w:val="005176E6"/>
    <w:rsid w:val="00517E0C"/>
    <w:rsid w:val="005215B7"/>
    <w:rsid w:val="00532FD0"/>
    <w:rsid w:val="00534B28"/>
    <w:rsid w:val="0053765D"/>
    <w:rsid w:val="005501DE"/>
    <w:rsid w:val="00562F29"/>
    <w:rsid w:val="0056627B"/>
    <w:rsid w:val="00570730"/>
    <w:rsid w:val="00574B23"/>
    <w:rsid w:val="00575FF8"/>
    <w:rsid w:val="005820F3"/>
    <w:rsid w:val="00595797"/>
    <w:rsid w:val="005A1DF4"/>
    <w:rsid w:val="005C076B"/>
    <w:rsid w:val="005C403D"/>
    <w:rsid w:val="005C636A"/>
    <w:rsid w:val="005D559D"/>
    <w:rsid w:val="005E03A8"/>
    <w:rsid w:val="005E6FB0"/>
    <w:rsid w:val="005F38C6"/>
    <w:rsid w:val="006010BF"/>
    <w:rsid w:val="00604AFD"/>
    <w:rsid w:val="006072E6"/>
    <w:rsid w:val="00607B67"/>
    <w:rsid w:val="00614195"/>
    <w:rsid w:val="00614760"/>
    <w:rsid w:val="00624723"/>
    <w:rsid w:val="0063682C"/>
    <w:rsid w:val="00636CD9"/>
    <w:rsid w:val="006505DB"/>
    <w:rsid w:val="00652C52"/>
    <w:rsid w:val="00655262"/>
    <w:rsid w:val="00655A78"/>
    <w:rsid w:val="00664696"/>
    <w:rsid w:val="006665C4"/>
    <w:rsid w:val="00666ACA"/>
    <w:rsid w:val="00671CB4"/>
    <w:rsid w:val="00682435"/>
    <w:rsid w:val="00682A1A"/>
    <w:rsid w:val="00685240"/>
    <w:rsid w:val="006971D1"/>
    <w:rsid w:val="00697914"/>
    <w:rsid w:val="006A0368"/>
    <w:rsid w:val="006A0BCA"/>
    <w:rsid w:val="006A6D00"/>
    <w:rsid w:val="006C19EF"/>
    <w:rsid w:val="006C5DFC"/>
    <w:rsid w:val="006C7397"/>
    <w:rsid w:val="006D31E2"/>
    <w:rsid w:val="006D49A5"/>
    <w:rsid w:val="006E365C"/>
    <w:rsid w:val="006F2D09"/>
    <w:rsid w:val="00701917"/>
    <w:rsid w:val="00706BF9"/>
    <w:rsid w:val="007111DD"/>
    <w:rsid w:val="0071398E"/>
    <w:rsid w:val="00714C0A"/>
    <w:rsid w:val="00717D9D"/>
    <w:rsid w:val="0072203E"/>
    <w:rsid w:val="00726750"/>
    <w:rsid w:val="007305D5"/>
    <w:rsid w:val="00733C91"/>
    <w:rsid w:val="00741226"/>
    <w:rsid w:val="007575D0"/>
    <w:rsid w:val="00763600"/>
    <w:rsid w:val="007646F0"/>
    <w:rsid w:val="00766F8F"/>
    <w:rsid w:val="007708EB"/>
    <w:rsid w:val="007739BF"/>
    <w:rsid w:val="00776593"/>
    <w:rsid w:val="00786A7F"/>
    <w:rsid w:val="00787384"/>
    <w:rsid w:val="007939C8"/>
    <w:rsid w:val="00794251"/>
    <w:rsid w:val="0079602E"/>
    <w:rsid w:val="007A2020"/>
    <w:rsid w:val="007A29AE"/>
    <w:rsid w:val="007A2BE4"/>
    <w:rsid w:val="007A4675"/>
    <w:rsid w:val="007A4A18"/>
    <w:rsid w:val="007B6D05"/>
    <w:rsid w:val="007C5F4F"/>
    <w:rsid w:val="007C71E4"/>
    <w:rsid w:val="007D525F"/>
    <w:rsid w:val="007E0423"/>
    <w:rsid w:val="007E6468"/>
    <w:rsid w:val="007E66D8"/>
    <w:rsid w:val="007E7924"/>
    <w:rsid w:val="0080033E"/>
    <w:rsid w:val="00803D0A"/>
    <w:rsid w:val="00804106"/>
    <w:rsid w:val="00810A92"/>
    <w:rsid w:val="0081388C"/>
    <w:rsid w:val="00813FEE"/>
    <w:rsid w:val="0081538E"/>
    <w:rsid w:val="00820722"/>
    <w:rsid w:val="0082301A"/>
    <w:rsid w:val="00824AB0"/>
    <w:rsid w:val="008275AC"/>
    <w:rsid w:val="00842D09"/>
    <w:rsid w:val="00845F95"/>
    <w:rsid w:val="008462E8"/>
    <w:rsid w:val="00851CD9"/>
    <w:rsid w:val="00852F04"/>
    <w:rsid w:val="008541DC"/>
    <w:rsid w:val="008546F6"/>
    <w:rsid w:val="008615D1"/>
    <w:rsid w:val="008652FF"/>
    <w:rsid w:val="00865A98"/>
    <w:rsid w:val="00866DEA"/>
    <w:rsid w:val="008765CE"/>
    <w:rsid w:val="00876A54"/>
    <w:rsid w:val="008845EA"/>
    <w:rsid w:val="008854C3"/>
    <w:rsid w:val="00887CC5"/>
    <w:rsid w:val="008A562D"/>
    <w:rsid w:val="008A6E0D"/>
    <w:rsid w:val="008B0AA6"/>
    <w:rsid w:val="008B0F0F"/>
    <w:rsid w:val="008B12A8"/>
    <w:rsid w:val="008B51CF"/>
    <w:rsid w:val="008B7BCF"/>
    <w:rsid w:val="008B7F05"/>
    <w:rsid w:val="008C0CA2"/>
    <w:rsid w:val="008D4062"/>
    <w:rsid w:val="008E03EA"/>
    <w:rsid w:val="008E08B9"/>
    <w:rsid w:val="008E233F"/>
    <w:rsid w:val="008E6069"/>
    <w:rsid w:val="008F09FA"/>
    <w:rsid w:val="008F3E43"/>
    <w:rsid w:val="008F5E29"/>
    <w:rsid w:val="008F6AC9"/>
    <w:rsid w:val="009146B0"/>
    <w:rsid w:val="00922A28"/>
    <w:rsid w:val="0092318E"/>
    <w:rsid w:val="00925289"/>
    <w:rsid w:val="00937A35"/>
    <w:rsid w:val="00941F06"/>
    <w:rsid w:val="00942DEA"/>
    <w:rsid w:val="00947A84"/>
    <w:rsid w:val="009551EC"/>
    <w:rsid w:val="00955A97"/>
    <w:rsid w:val="00970E8E"/>
    <w:rsid w:val="009718B7"/>
    <w:rsid w:val="00974CA5"/>
    <w:rsid w:val="00975B5F"/>
    <w:rsid w:val="00976740"/>
    <w:rsid w:val="00985DCC"/>
    <w:rsid w:val="0098625F"/>
    <w:rsid w:val="00991F5F"/>
    <w:rsid w:val="00993319"/>
    <w:rsid w:val="009943ED"/>
    <w:rsid w:val="009A05A7"/>
    <w:rsid w:val="009A17CA"/>
    <w:rsid w:val="009A2A66"/>
    <w:rsid w:val="009A2E63"/>
    <w:rsid w:val="009A3460"/>
    <w:rsid w:val="009A5A92"/>
    <w:rsid w:val="009B1769"/>
    <w:rsid w:val="009B6D95"/>
    <w:rsid w:val="009B7576"/>
    <w:rsid w:val="009C4CBF"/>
    <w:rsid w:val="009C7B4E"/>
    <w:rsid w:val="009D58FC"/>
    <w:rsid w:val="009E14BF"/>
    <w:rsid w:val="009E467B"/>
    <w:rsid w:val="009F7834"/>
    <w:rsid w:val="00A07B6C"/>
    <w:rsid w:val="00A101CE"/>
    <w:rsid w:val="00A13B7D"/>
    <w:rsid w:val="00A22DED"/>
    <w:rsid w:val="00A266C6"/>
    <w:rsid w:val="00A311CA"/>
    <w:rsid w:val="00A41D64"/>
    <w:rsid w:val="00A42630"/>
    <w:rsid w:val="00A43F53"/>
    <w:rsid w:val="00A44CFE"/>
    <w:rsid w:val="00A479C4"/>
    <w:rsid w:val="00A50C43"/>
    <w:rsid w:val="00A51F47"/>
    <w:rsid w:val="00A57C10"/>
    <w:rsid w:val="00A60AAB"/>
    <w:rsid w:val="00A6113E"/>
    <w:rsid w:val="00A64523"/>
    <w:rsid w:val="00A740EE"/>
    <w:rsid w:val="00A77139"/>
    <w:rsid w:val="00A8451C"/>
    <w:rsid w:val="00A871E8"/>
    <w:rsid w:val="00A908C9"/>
    <w:rsid w:val="00A9623E"/>
    <w:rsid w:val="00A975FE"/>
    <w:rsid w:val="00AA0F20"/>
    <w:rsid w:val="00AA1D31"/>
    <w:rsid w:val="00AB198F"/>
    <w:rsid w:val="00AB7BA7"/>
    <w:rsid w:val="00AC05CF"/>
    <w:rsid w:val="00AC05E7"/>
    <w:rsid w:val="00AD1D2F"/>
    <w:rsid w:val="00AE1237"/>
    <w:rsid w:val="00AF250E"/>
    <w:rsid w:val="00AF27F2"/>
    <w:rsid w:val="00B00496"/>
    <w:rsid w:val="00B04296"/>
    <w:rsid w:val="00B1058C"/>
    <w:rsid w:val="00B12C7B"/>
    <w:rsid w:val="00B13FFE"/>
    <w:rsid w:val="00B15AFF"/>
    <w:rsid w:val="00B15F76"/>
    <w:rsid w:val="00B21DE3"/>
    <w:rsid w:val="00B305F3"/>
    <w:rsid w:val="00B341A2"/>
    <w:rsid w:val="00B411BF"/>
    <w:rsid w:val="00B5047D"/>
    <w:rsid w:val="00B6395F"/>
    <w:rsid w:val="00B64593"/>
    <w:rsid w:val="00B65112"/>
    <w:rsid w:val="00B65C1D"/>
    <w:rsid w:val="00B7540E"/>
    <w:rsid w:val="00B76252"/>
    <w:rsid w:val="00B76C20"/>
    <w:rsid w:val="00B7703C"/>
    <w:rsid w:val="00B77D47"/>
    <w:rsid w:val="00B84225"/>
    <w:rsid w:val="00B95C8A"/>
    <w:rsid w:val="00B95C96"/>
    <w:rsid w:val="00B96048"/>
    <w:rsid w:val="00BA1AB3"/>
    <w:rsid w:val="00BB16A3"/>
    <w:rsid w:val="00BB34D1"/>
    <w:rsid w:val="00BB364F"/>
    <w:rsid w:val="00BB5DB9"/>
    <w:rsid w:val="00BB5FE4"/>
    <w:rsid w:val="00BB70CE"/>
    <w:rsid w:val="00BC1416"/>
    <w:rsid w:val="00BC208B"/>
    <w:rsid w:val="00BC5915"/>
    <w:rsid w:val="00BC6156"/>
    <w:rsid w:val="00BD2704"/>
    <w:rsid w:val="00BD6C11"/>
    <w:rsid w:val="00BE0893"/>
    <w:rsid w:val="00BE129F"/>
    <w:rsid w:val="00BF0515"/>
    <w:rsid w:val="00BF2188"/>
    <w:rsid w:val="00BF2A37"/>
    <w:rsid w:val="00BF4E58"/>
    <w:rsid w:val="00BF7E7D"/>
    <w:rsid w:val="00C016A5"/>
    <w:rsid w:val="00C10FB9"/>
    <w:rsid w:val="00C20F95"/>
    <w:rsid w:val="00C225B2"/>
    <w:rsid w:val="00C23071"/>
    <w:rsid w:val="00C27D20"/>
    <w:rsid w:val="00C36C6C"/>
    <w:rsid w:val="00C44F79"/>
    <w:rsid w:val="00C51BA0"/>
    <w:rsid w:val="00C55B61"/>
    <w:rsid w:val="00C63782"/>
    <w:rsid w:val="00C63D3E"/>
    <w:rsid w:val="00C72372"/>
    <w:rsid w:val="00C73125"/>
    <w:rsid w:val="00C75CE1"/>
    <w:rsid w:val="00C80507"/>
    <w:rsid w:val="00C86B1C"/>
    <w:rsid w:val="00C91222"/>
    <w:rsid w:val="00C91BA5"/>
    <w:rsid w:val="00C95A65"/>
    <w:rsid w:val="00C964F0"/>
    <w:rsid w:val="00C96DBE"/>
    <w:rsid w:val="00CA3690"/>
    <w:rsid w:val="00CB3041"/>
    <w:rsid w:val="00CB4654"/>
    <w:rsid w:val="00CC0213"/>
    <w:rsid w:val="00CC212A"/>
    <w:rsid w:val="00CE27DC"/>
    <w:rsid w:val="00CE2F8B"/>
    <w:rsid w:val="00CF64C2"/>
    <w:rsid w:val="00CF7E20"/>
    <w:rsid w:val="00D039E7"/>
    <w:rsid w:val="00D03A4E"/>
    <w:rsid w:val="00D06AF6"/>
    <w:rsid w:val="00D07B01"/>
    <w:rsid w:val="00D14748"/>
    <w:rsid w:val="00D169BA"/>
    <w:rsid w:val="00D207F3"/>
    <w:rsid w:val="00D2333F"/>
    <w:rsid w:val="00D2490F"/>
    <w:rsid w:val="00D24F39"/>
    <w:rsid w:val="00D33AE3"/>
    <w:rsid w:val="00D342A8"/>
    <w:rsid w:val="00D365BD"/>
    <w:rsid w:val="00D452EF"/>
    <w:rsid w:val="00D52CC8"/>
    <w:rsid w:val="00D64EA4"/>
    <w:rsid w:val="00D65195"/>
    <w:rsid w:val="00D67BD9"/>
    <w:rsid w:val="00D713E6"/>
    <w:rsid w:val="00D8167F"/>
    <w:rsid w:val="00D851AA"/>
    <w:rsid w:val="00D926FE"/>
    <w:rsid w:val="00D93D23"/>
    <w:rsid w:val="00DA2997"/>
    <w:rsid w:val="00DA4570"/>
    <w:rsid w:val="00DB6B33"/>
    <w:rsid w:val="00DC2863"/>
    <w:rsid w:val="00DC653F"/>
    <w:rsid w:val="00DD3A3E"/>
    <w:rsid w:val="00DE4A88"/>
    <w:rsid w:val="00DF0C07"/>
    <w:rsid w:val="00DF6A7B"/>
    <w:rsid w:val="00E038A4"/>
    <w:rsid w:val="00E04E2A"/>
    <w:rsid w:val="00E07B84"/>
    <w:rsid w:val="00E12E9B"/>
    <w:rsid w:val="00E2019F"/>
    <w:rsid w:val="00E23D19"/>
    <w:rsid w:val="00E30CF8"/>
    <w:rsid w:val="00E45827"/>
    <w:rsid w:val="00E50951"/>
    <w:rsid w:val="00E53461"/>
    <w:rsid w:val="00E62142"/>
    <w:rsid w:val="00E62F7D"/>
    <w:rsid w:val="00E64FDB"/>
    <w:rsid w:val="00E66C1D"/>
    <w:rsid w:val="00E6723D"/>
    <w:rsid w:val="00E71005"/>
    <w:rsid w:val="00E72385"/>
    <w:rsid w:val="00E7407E"/>
    <w:rsid w:val="00E84237"/>
    <w:rsid w:val="00E87D55"/>
    <w:rsid w:val="00E90E78"/>
    <w:rsid w:val="00E93387"/>
    <w:rsid w:val="00EA3AC3"/>
    <w:rsid w:val="00EA5E4B"/>
    <w:rsid w:val="00EB16CC"/>
    <w:rsid w:val="00EB386B"/>
    <w:rsid w:val="00EB54E8"/>
    <w:rsid w:val="00EC15FC"/>
    <w:rsid w:val="00EC3D8B"/>
    <w:rsid w:val="00ED123E"/>
    <w:rsid w:val="00EE034C"/>
    <w:rsid w:val="00EE0AE9"/>
    <w:rsid w:val="00EE5F69"/>
    <w:rsid w:val="00F04ADD"/>
    <w:rsid w:val="00F062DD"/>
    <w:rsid w:val="00F13E12"/>
    <w:rsid w:val="00F14965"/>
    <w:rsid w:val="00F14EB0"/>
    <w:rsid w:val="00F15632"/>
    <w:rsid w:val="00F17336"/>
    <w:rsid w:val="00F2198F"/>
    <w:rsid w:val="00F253FB"/>
    <w:rsid w:val="00F32DAA"/>
    <w:rsid w:val="00F33E4E"/>
    <w:rsid w:val="00F34618"/>
    <w:rsid w:val="00F47C80"/>
    <w:rsid w:val="00F52563"/>
    <w:rsid w:val="00F5331E"/>
    <w:rsid w:val="00F53BAD"/>
    <w:rsid w:val="00F575E9"/>
    <w:rsid w:val="00F616CF"/>
    <w:rsid w:val="00F636B5"/>
    <w:rsid w:val="00F63F8A"/>
    <w:rsid w:val="00F64E2A"/>
    <w:rsid w:val="00F65003"/>
    <w:rsid w:val="00F72FD0"/>
    <w:rsid w:val="00F74001"/>
    <w:rsid w:val="00F749EC"/>
    <w:rsid w:val="00F83E76"/>
    <w:rsid w:val="00F84BD6"/>
    <w:rsid w:val="00F9078A"/>
    <w:rsid w:val="00F93FFA"/>
    <w:rsid w:val="00F957EB"/>
    <w:rsid w:val="00F968A0"/>
    <w:rsid w:val="00FA7B05"/>
    <w:rsid w:val="00FC3447"/>
    <w:rsid w:val="00FC3FEA"/>
    <w:rsid w:val="00FC44E3"/>
    <w:rsid w:val="00FC5FE4"/>
    <w:rsid w:val="00FD15E1"/>
    <w:rsid w:val="00FD35DA"/>
    <w:rsid w:val="00FD57AE"/>
    <w:rsid w:val="00FE27D1"/>
    <w:rsid w:val="00FE60F4"/>
    <w:rsid w:val="00FF2FED"/>
    <w:rsid w:val="00FF468E"/>
    <w:rsid w:val="00FF563C"/>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9B6D95"/>
    <w:pPr>
      <w:keepNext/>
      <w:keepLines/>
      <w:spacing w:after="0" w:line="240" w:lineRule="auto"/>
      <w:outlineLvl w:val="0"/>
    </w:pPr>
    <w:rPr>
      <w:rFonts w:ascii="Calibri" w:eastAsiaTheme="majorEastAsia" w:hAnsi="Calibri" w:cstheme="majorBidi"/>
      <w:b/>
      <w:bCs/>
      <w:sz w:val="28"/>
      <w:szCs w:val="28"/>
    </w:rPr>
  </w:style>
  <w:style w:type="paragraph" w:styleId="Ttulo2">
    <w:name w:val="heading 2"/>
    <w:basedOn w:val="Prrafodelista"/>
    <w:next w:val="Normal"/>
    <w:link w:val="Ttulo2Car"/>
    <w:uiPriority w:val="9"/>
    <w:unhideWhenUsed/>
    <w:qFormat/>
    <w:rsid w:val="009B6D95"/>
    <w:pPr>
      <w:numPr>
        <w:ilvl w:val="1"/>
        <w:numId w:val="5"/>
      </w:numPr>
      <w:spacing w:after="0" w:line="240" w:lineRule="auto"/>
      <w:jc w:val="both"/>
      <w:outlineLvl w:val="1"/>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06AF6"/>
    <w:pPr>
      <w:ind w:left="720"/>
      <w:contextualSpacing/>
    </w:pPr>
  </w:style>
  <w:style w:type="table" w:styleId="Tablaconcuadrcula">
    <w:name w:val="Table Grid"/>
    <w:basedOn w:val="Tablanormal"/>
    <w:uiPriority w:val="59"/>
    <w:rsid w:val="001D233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notapie">
    <w:name w:val="footnote text"/>
    <w:basedOn w:val="Normal"/>
    <w:link w:val="TextonotapieCar"/>
    <w:uiPriority w:val="99"/>
    <w:semiHidden/>
    <w:unhideWhenUsed/>
    <w:rsid w:val="00072359"/>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72359"/>
    <w:rPr>
      <w:sz w:val="20"/>
      <w:szCs w:val="20"/>
    </w:rPr>
  </w:style>
  <w:style w:type="character" w:styleId="Refdenotaalpie">
    <w:name w:val="footnote reference"/>
    <w:basedOn w:val="Fuentedeprrafopredeter"/>
    <w:uiPriority w:val="99"/>
    <w:semiHidden/>
    <w:unhideWhenUsed/>
    <w:rsid w:val="00072359"/>
    <w:rPr>
      <w:vertAlign w:val="superscript"/>
    </w:rPr>
  </w:style>
  <w:style w:type="paragraph" w:styleId="Listaconvietas">
    <w:name w:val="List Bullet"/>
    <w:basedOn w:val="Normal"/>
    <w:uiPriority w:val="99"/>
    <w:unhideWhenUsed/>
    <w:rsid w:val="00DF6A7B"/>
    <w:pPr>
      <w:numPr>
        <w:numId w:val="9"/>
      </w:numPr>
      <w:contextualSpacing/>
    </w:pPr>
  </w:style>
  <w:style w:type="character" w:styleId="Hipervnculo">
    <w:name w:val="Hyperlink"/>
    <w:basedOn w:val="Fuentedeprrafopredeter"/>
    <w:uiPriority w:val="99"/>
    <w:unhideWhenUsed/>
    <w:rsid w:val="008F09FA"/>
    <w:rPr>
      <w:color w:val="0000FF" w:themeColor="hyperlink"/>
      <w:u w:val="single"/>
    </w:rPr>
  </w:style>
  <w:style w:type="table" w:customStyle="1" w:styleId="Sombreadomedio1-nfasis11">
    <w:name w:val="Sombreado medio 1 - Énfasis 11"/>
    <w:basedOn w:val="Tablanormal"/>
    <w:uiPriority w:val="63"/>
    <w:rsid w:val="00AA0F20"/>
    <w:pPr>
      <w:spacing w:after="0" w:line="240" w:lineRule="auto"/>
    </w:pPr>
    <w:rPr>
      <w:rFonts w:eastAsiaTheme="minorEastAsia"/>
      <w:lang w:eastAsia="es-CL"/>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extodeglobo">
    <w:name w:val="Balloon Text"/>
    <w:basedOn w:val="Normal"/>
    <w:link w:val="TextodegloboCar"/>
    <w:uiPriority w:val="99"/>
    <w:semiHidden/>
    <w:unhideWhenUsed/>
    <w:rsid w:val="00D2333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2333F"/>
    <w:rPr>
      <w:rFonts w:ascii="Tahoma" w:hAnsi="Tahoma" w:cs="Tahoma"/>
      <w:sz w:val="16"/>
      <w:szCs w:val="16"/>
    </w:rPr>
  </w:style>
  <w:style w:type="paragraph" w:styleId="Encabezado">
    <w:name w:val="header"/>
    <w:basedOn w:val="Normal"/>
    <w:link w:val="EncabezadoCar"/>
    <w:uiPriority w:val="99"/>
    <w:unhideWhenUsed/>
    <w:rsid w:val="00D33AE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33AE3"/>
  </w:style>
  <w:style w:type="paragraph" w:styleId="Piedepgina">
    <w:name w:val="footer"/>
    <w:basedOn w:val="Normal"/>
    <w:link w:val="PiedepginaCar"/>
    <w:uiPriority w:val="99"/>
    <w:unhideWhenUsed/>
    <w:rsid w:val="00D33AE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33AE3"/>
  </w:style>
  <w:style w:type="paragraph" w:styleId="Textonotaalfinal">
    <w:name w:val="endnote text"/>
    <w:basedOn w:val="Normal"/>
    <w:link w:val="TextonotaalfinalCar"/>
    <w:uiPriority w:val="99"/>
    <w:semiHidden/>
    <w:unhideWhenUsed/>
    <w:rsid w:val="000801B8"/>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801B8"/>
    <w:rPr>
      <w:sz w:val="20"/>
      <w:szCs w:val="20"/>
    </w:rPr>
  </w:style>
  <w:style w:type="character" w:styleId="Refdenotaalfinal">
    <w:name w:val="endnote reference"/>
    <w:basedOn w:val="Fuentedeprrafopredeter"/>
    <w:uiPriority w:val="99"/>
    <w:semiHidden/>
    <w:unhideWhenUsed/>
    <w:rsid w:val="000801B8"/>
    <w:rPr>
      <w:vertAlign w:val="superscript"/>
    </w:rPr>
  </w:style>
  <w:style w:type="character" w:customStyle="1" w:styleId="Ttulo1Car">
    <w:name w:val="Título 1 Car"/>
    <w:basedOn w:val="Fuentedeprrafopredeter"/>
    <w:link w:val="Ttulo1"/>
    <w:uiPriority w:val="9"/>
    <w:rsid w:val="009B6D95"/>
    <w:rPr>
      <w:rFonts w:ascii="Calibri" w:eastAsiaTheme="majorEastAsia" w:hAnsi="Calibri" w:cstheme="majorBidi"/>
      <w:b/>
      <w:bCs/>
      <w:sz w:val="28"/>
      <w:szCs w:val="28"/>
    </w:rPr>
  </w:style>
  <w:style w:type="paragraph" w:styleId="TtulodeTDC">
    <w:name w:val="TOC Heading"/>
    <w:basedOn w:val="Ttulo1"/>
    <w:next w:val="Normal"/>
    <w:uiPriority w:val="39"/>
    <w:semiHidden/>
    <w:unhideWhenUsed/>
    <w:qFormat/>
    <w:rsid w:val="009B6D95"/>
    <w:pPr>
      <w:outlineLvl w:val="9"/>
    </w:pPr>
    <w:rPr>
      <w:lang w:eastAsia="es-CL"/>
    </w:rPr>
  </w:style>
  <w:style w:type="character" w:customStyle="1" w:styleId="Ttulo2Car">
    <w:name w:val="Título 2 Car"/>
    <w:basedOn w:val="Fuentedeprrafopredeter"/>
    <w:link w:val="Ttulo2"/>
    <w:uiPriority w:val="9"/>
    <w:rsid w:val="009B6D95"/>
    <w:rPr>
      <w:b/>
    </w:rPr>
  </w:style>
  <w:style w:type="paragraph" w:styleId="TDC2">
    <w:name w:val="toc 2"/>
    <w:basedOn w:val="Normal"/>
    <w:next w:val="Normal"/>
    <w:autoRedefine/>
    <w:uiPriority w:val="39"/>
    <w:unhideWhenUsed/>
    <w:qFormat/>
    <w:rsid w:val="004B16CA"/>
    <w:pPr>
      <w:spacing w:after="100"/>
      <w:ind w:left="220"/>
    </w:pPr>
    <w:rPr>
      <w:rFonts w:eastAsiaTheme="minorEastAsia"/>
      <w:lang w:eastAsia="es-CL"/>
    </w:rPr>
  </w:style>
  <w:style w:type="paragraph" w:styleId="TDC1">
    <w:name w:val="toc 1"/>
    <w:basedOn w:val="Normal"/>
    <w:next w:val="Normal"/>
    <w:autoRedefine/>
    <w:uiPriority w:val="39"/>
    <w:unhideWhenUsed/>
    <w:qFormat/>
    <w:rsid w:val="004B16CA"/>
    <w:pPr>
      <w:tabs>
        <w:tab w:val="left" w:pos="440"/>
        <w:tab w:val="right" w:leader="dot" w:pos="8828"/>
      </w:tabs>
      <w:spacing w:after="100"/>
    </w:pPr>
    <w:rPr>
      <w:rFonts w:eastAsiaTheme="minorEastAsia"/>
      <w:b/>
      <w:noProof/>
      <w:lang w:eastAsia="es-CL"/>
    </w:rPr>
  </w:style>
  <w:style w:type="paragraph" w:styleId="TDC3">
    <w:name w:val="toc 3"/>
    <w:basedOn w:val="Normal"/>
    <w:next w:val="Normal"/>
    <w:autoRedefine/>
    <w:uiPriority w:val="39"/>
    <w:semiHidden/>
    <w:unhideWhenUsed/>
    <w:qFormat/>
    <w:rsid w:val="004B16CA"/>
    <w:pPr>
      <w:spacing w:after="100"/>
      <w:ind w:left="440"/>
    </w:pPr>
    <w:rPr>
      <w:rFonts w:eastAsiaTheme="minorEastAsia"/>
      <w:lang w:eastAsia="es-C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9B6D95"/>
    <w:pPr>
      <w:keepNext/>
      <w:keepLines/>
      <w:spacing w:after="0" w:line="240" w:lineRule="auto"/>
      <w:outlineLvl w:val="0"/>
    </w:pPr>
    <w:rPr>
      <w:rFonts w:ascii="Calibri" w:eastAsiaTheme="majorEastAsia" w:hAnsi="Calibri" w:cstheme="majorBidi"/>
      <w:b/>
      <w:bCs/>
      <w:sz w:val="28"/>
      <w:szCs w:val="28"/>
    </w:rPr>
  </w:style>
  <w:style w:type="paragraph" w:styleId="Ttulo2">
    <w:name w:val="heading 2"/>
    <w:basedOn w:val="Prrafodelista"/>
    <w:next w:val="Normal"/>
    <w:link w:val="Ttulo2Car"/>
    <w:uiPriority w:val="9"/>
    <w:unhideWhenUsed/>
    <w:qFormat/>
    <w:rsid w:val="009B6D95"/>
    <w:pPr>
      <w:numPr>
        <w:ilvl w:val="1"/>
        <w:numId w:val="5"/>
      </w:numPr>
      <w:spacing w:after="0" w:line="240" w:lineRule="auto"/>
      <w:jc w:val="both"/>
      <w:outlineLvl w:val="1"/>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06AF6"/>
    <w:pPr>
      <w:ind w:left="720"/>
      <w:contextualSpacing/>
    </w:pPr>
  </w:style>
  <w:style w:type="table" w:styleId="Tablaconcuadrcula">
    <w:name w:val="Table Grid"/>
    <w:basedOn w:val="Tablanormal"/>
    <w:uiPriority w:val="59"/>
    <w:rsid w:val="001D233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notapie">
    <w:name w:val="footnote text"/>
    <w:basedOn w:val="Normal"/>
    <w:link w:val="TextonotapieCar"/>
    <w:uiPriority w:val="99"/>
    <w:semiHidden/>
    <w:unhideWhenUsed/>
    <w:rsid w:val="00072359"/>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72359"/>
    <w:rPr>
      <w:sz w:val="20"/>
      <w:szCs w:val="20"/>
    </w:rPr>
  </w:style>
  <w:style w:type="character" w:styleId="Refdenotaalpie">
    <w:name w:val="footnote reference"/>
    <w:basedOn w:val="Fuentedeprrafopredeter"/>
    <w:uiPriority w:val="99"/>
    <w:semiHidden/>
    <w:unhideWhenUsed/>
    <w:rsid w:val="00072359"/>
    <w:rPr>
      <w:vertAlign w:val="superscript"/>
    </w:rPr>
  </w:style>
  <w:style w:type="paragraph" w:styleId="Listaconvietas">
    <w:name w:val="List Bullet"/>
    <w:basedOn w:val="Normal"/>
    <w:uiPriority w:val="99"/>
    <w:unhideWhenUsed/>
    <w:rsid w:val="00DF6A7B"/>
    <w:pPr>
      <w:numPr>
        <w:numId w:val="9"/>
      </w:numPr>
      <w:contextualSpacing/>
    </w:pPr>
  </w:style>
  <w:style w:type="character" w:styleId="Hipervnculo">
    <w:name w:val="Hyperlink"/>
    <w:basedOn w:val="Fuentedeprrafopredeter"/>
    <w:uiPriority w:val="99"/>
    <w:unhideWhenUsed/>
    <w:rsid w:val="008F09FA"/>
    <w:rPr>
      <w:color w:val="0000FF" w:themeColor="hyperlink"/>
      <w:u w:val="single"/>
    </w:rPr>
  </w:style>
  <w:style w:type="table" w:customStyle="1" w:styleId="Sombreadomedio1-nfasis11">
    <w:name w:val="Sombreado medio 1 - Énfasis 11"/>
    <w:basedOn w:val="Tablanormal"/>
    <w:uiPriority w:val="63"/>
    <w:rsid w:val="00AA0F20"/>
    <w:pPr>
      <w:spacing w:after="0" w:line="240" w:lineRule="auto"/>
    </w:pPr>
    <w:rPr>
      <w:rFonts w:eastAsiaTheme="minorEastAsia"/>
      <w:lang w:eastAsia="es-CL"/>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Textodeglobo">
    <w:name w:val="Balloon Text"/>
    <w:basedOn w:val="Normal"/>
    <w:link w:val="TextodegloboCar"/>
    <w:uiPriority w:val="99"/>
    <w:semiHidden/>
    <w:unhideWhenUsed/>
    <w:rsid w:val="00D2333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2333F"/>
    <w:rPr>
      <w:rFonts w:ascii="Tahoma" w:hAnsi="Tahoma" w:cs="Tahoma"/>
      <w:sz w:val="16"/>
      <w:szCs w:val="16"/>
    </w:rPr>
  </w:style>
  <w:style w:type="paragraph" w:styleId="Encabezado">
    <w:name w:val="header"/>
    <w:basedOn w:val="Normal"/>
    <w:link w:val="EncabezadoCar"/>
    <w:uiPriority w:val="99"/>
    <w:unhideWhenUsed/>
    <w:rsid w:val="00D33AE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33AE3"/>
  </w:style>
  <w:style w:type="paragraph" w:styleId="Piedepgina">
    <w:name w:val="footer"/>
    <w:basedOn w:val="Normal"/>
    <w:link w:val="PiedepginaCar"/>
    <w:uiPriority w:val="99"/>
    <w:unhideWhenUsed/>
    <w:rsid w:val="00D33AE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33AE3"/>
  </w:style>
  <w:style w:type="paragraph" w:styleId="Textonotaalfinal">
    <w:name w:val="endnote text"/>
    <w:basedOn w:val="Normal"/>
    <w:link w:val="TextonotaalfinalCar"/>
    <w:uiPriority w:val="99"/>
    <w:semiHidden/>
    <w:unhideWhenUsed/>
    <w:rsid w:val="000801B8"/>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801B8"/>
    <w:rPr>
      <w:sz w:val="20"/>
      <w:szCs w:val="20"/>
    </w:rPr>
  </w:style>
  <w:style w:type="character" w:styleId="Refdenotaalfinal">
    <w:name w:val="endnote reference"/>
    <w:basedOn w:val="Fuentedeprrafopredeter"/>
    <w:uiPriority w:val="99"/>
    <w:semiHidden/>
    <w:unhideWhenUsed/>
    <w:rsid w:val="000801B8"/>
    <w:rPr>
      <w:vertAlign w:val="superscript"/>
    </w:rPr>
  </w:style>
  <w:style w:type="character" w:customStyle="1" w:styleId="Ttulo1Car">
    <w:name w:val="Título 1 Car"/>
    <w:basedOn w:val="Fuentedeprrafopredeter"/>
    <w:link w:val="Ttulo1"/>
    <w:uiPriority w:val="9"/>
    <w:rsid w:val="009B6D95"/>
    <w:rPr>
      <w:rFonts w:ascii="Calibri" w:eastAsiaTheme="majorEastAsia" w:hAnsi="Calibri" w:cstheme="majorBidi"/>
      <w:b/>
      <w:bCs/>
      <w:sz w:val="28"/>
      <w:szCs w:val="28"/>
    </w:rPr>
  </w:style>
  <w:style w:type="paragraph" w:styleId="TtulodeTDC">
    <w:name w:val="TOC Heading"/>
    <w:basedOn w:val="Ttulo1"/>
    <w:next w:val="Normal"/>
    <w:uiPriority w:val="39"/>
    <w:semiHidden/>
    <w:unhideWhenUsed/>
    <w:qFormat/>
    <w:rsid w:val="009B6D95"/>
    <w:pPr>
      <w:outlineLvl w:val="9"/>
    </w:pPr>
    <w:rPr>
      <w:lang w:eastAsia="es-CL"/>
    </w:rPr>
  </w:style>
  <w:style w:type="character" w:customStyle="1" w:styleId="Ttulo2Car">
    <w:name w:val="Título 2 Car"/>
    <w:basedOn w:val="Fuentedeprrafopredeter"/>
    <w:link w:val="Ttulo2"/>
    <w:uiPriority w:val="9"/>
    <w:rsid w:val="009B6D95"/>
    <w:rPr>
      <w:b/>
    </w:rPr>
  </w:style>
  <w:style w:type="paragraph" w:styleId="TDC2">
    <w:name w:val="toc 2"/>
    <w:basedOn w:val="Normal"/>
    <w:next w:val="Normal"/>
    <w:autoRedefine/>
    <w:uiPriority w:val="39"/>
    <w:unhideWhenUsed/>
    <w:qFormat/>
    <w:rsid w:val="004B16CA"/>
    <w:pPr>
      <w:spacing w:after="100"/>
      <w:ind w:left="220"/>
    </w:pPr>
    <w:rPr>
      <w:rFonts w:eastAsiaTheme="minorEastAsia"/>
      <w:lang w:eastAsia="es-CL"/>
    </w:rPr>
  </w:style>
  <w:style w:type="paragraph" w:styleId="TDC1">
    <w:name w:val="toc 1"/>
    <w:basedOn w:val="Normal"/>
    <w:next w:val="Normal"/>
    <w:autoRedefine/>
    <w:uiPriority w:val="39"/>
    <w:unhideWhenUsed/>
    <w:qFormat/>
    <w:rsid w:val="004B16CA"/>
    <w:pPr>
      <w:tabs>
        <w:tab w:val="left" w:pos="440"/>
        <w:tab w:val="right" w:leader="dot" w:pos="8828"/>
      </w:tabs>
      <w:spacing w:after="100"/>
    </w:pPr>
    <w:rPr>
      <w:rFonts w:eastAsiaTheme="minorEastAsia"/>
      <w:b/>
      <w:noProof/>
      <w:lang w:eastAsia="es-CL"/>
    </w:rPr>
  </w:style>
  <w:style w:type="paragraph" w:styleId="TDC3">
    <w:name w:val="toc 3"/>
    <w:basedOn w:val="Normal"/>
    <w:next w:val="Normal"/>
    <w:autoRedefine/>
    <w:uiPriority w:val="39"/>
    <w:semiHidden/>
    <w:unhideWhenUsed/>
    <w:qFormat/>
    <w:rsid w:val="004B16CA"/>
    <w:pPr>
      <w:spacing w:after="100"/>
      <w:ind w:left="440"/>
    </w:pPr>
    <w:rPr>
      <w:rFonts w:eastAsiaTheme="minorEastAsia"/>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561735">
      <w:bodyDiv w:val="1"/>
      <w:marLeft w:val="0"/>
      <w:marRight w:val="0"/>
      <w:marTop w:val="0"/>
      <w:marBottom w:val="0"/>
      <w:divBdr>
        <w:top w:val="none" w:sz="0" w:space="0" w:color="auto"/>
        <w:left w:val="none" w:sz="0" w:space="0" w:color="auto"/>
        <w:bottom w:val="none" w:sz="0" w:space="0" w:color="auto"/>
        <w:right w:val="none" w:sz="0" w:space="0" w:color="auto"/>
      </w:divBdr>
    </w:div>
    <w:div w:id="362485665">
      <w:bodyDiv w:val="1"/>
      <w:marLeft w:val="0"/>
      <w:marRight w:val="0"/>
      <w:marTop w:val="0"/>
      <w:marBottom w:val="0"/>
      <w:divBdr>
        <w:top w:val="none" w:sz="0" w:space="0" w:color="auto"/>
        <w:left w:val="none" w:sz="0" w:space="0" w:color="auto"/>
        <w:bottom w:val="none" w:sz="0" w:space="0" w:color="auto"/>
        <w:right w:val="none" w:sz="0" w:space="0" w:color="auto"/>
      </w:divBdr>
    </w:div>
    <w:div w:id="452478257">
      <w:bodyDiv w:val="1"/>
      <w:marLeft w:val="0"/>
      <w:marRight w:val="0"/>
      <w:marTop w:val="0"/>
      <w:marBottom w:val="0"/>
      <w:divBdr>
        <w:top w:val="none" w:sz="0" w:space="0" w:color="auto"/>
        <w:left w:val="none" w:sz="0" w:space="0" w:color="auto"/>
        <w:bottom w:val="none" w:sz="0" w:space="0" w:color="auto"/>
        <w:right w:val="none" w:sz="0" w:space="0" w:color="auto"/>
      </w:divBdr>
    </w:div>
    <w:div w:id="802230799">
      <w:bodyDiv w:val="1"/>
      <w:marLeft w:val="0"/>
      <w:marRight w:val="0"/>
      <w:marTop w:val="0"/>
      <w:marBottom w:val="0"/>
      <w:divBdr>
        <w:top w:val="none" w:sz="0" w:space="0" w:color="auto"/>
        <w:left w:val="none" w:sz="0" w:space="0" w:color="auto"/>
        <w:bottom w:val="none" w:sz="0" w:space="0" w:color="auto"/>
        <w:right w:val="none" w:sz="0" w:space="0" w:color="auto"/>
      </w:divBdr>
    </w:div>
    <w:div w:id="1189299145">
      <w:bodyDiv w:val="1"/>
      <w:marLeft w:val="0"/>
      <w:marRight w:val="0"/>
      <w:marTop w:val="0"/>
      <w:marBottom w:val="0"/>
      <w:divBdr>
        <w:top w:val="none" w:sz="0" w:space="0" w:color="auto"/>
        <w:left w:val="none" w:sz="0" w:space="0" w:color="auto"/>
        <w:bottom w:val="none" w:sz="0" w:space="0" w:color="auto"/>
        <w:right w:val="none" w:sz="0" w:space="0" w:color="auto"/>
      </w:divBdr>
    </w:div>
    <w:div w:id="1232234469">
      <w:bodyDiv w:val="1"/>
      <w:marLeft w:val="0"/>
      <w:marRight w:val="0"/>
      <w:marTop w:val="0"/>
      <w:marBottom w:val="0"/>
      <w:divBdr>
        <w:top w:val="none" w:sz="0" w:space="0" w:color="auto"/>
        <w:left w:val="none" w:sz="0" w:space="0" w:color="auto"/>
        <w:bottom w:val="none" w:sz="0" w:space="0" w:color="auto"/>
        <w:right w:val="none" w:sz="0" w:space="0" w:color="auto"/>
      </w:divBdr>
    </w:div>
    <w:div w:id="1581910828">
      <w:bodyDiv w:val="1"/>
      <w:marLeft w:val="0"/>
      <w:marRight w:val="0"/>
      <w:marTop w:val="0"/>
      <w:marBottom w:val="0"/>
      <w:divBdr>
        <w:top w:val="none" w:sz="0" w:space="0" w:color="auto"/>
        <w:left w:val="none" w:sz="0" w:space="0" w:color="auto"/>
        <w:bottom w:val="none" w:sz="0" w:space="0" w:color="auto"/>
        <w:right w:val="none" w:sz="0" w:space="0" w:color="auto"/>
      </w:divBdr>
    </w:div>
    <w:div w:id="1767191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5.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4.xml"/><Relationship Id="rId25" Type="http://schemas.openxmlformats.org/officeDocument/2006/relationships/chart" Target="charts/chart1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chart" Target="charts/chart7.xml"/><Relationship Id="rId29" Type="http://schemas.openxmlformats.org/officeDocument/2006/relationships/package" Target="embeddings/Hoja_de_c_lculo_de_Microsoft_Excel1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cn.cl" TargetMode="External"/><Relationship Id="rId24" Type="http://schemas.openxmlformats.org/officeDocument/2006/relationships/chart" Target="charts/chart11.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sinim.gov.cl/desarrollo_local/decreto_ley20330/documentos_ley20330.php" TargetMode="External"/><Relationship Id="rId23" Type="http://schemas.openxmlformats.org/officeDocument/2006/relationships/chart" Target="charts/chart10.xml"/><Relationship Id="rId28" Type="http://schemas.openxmlformats.org/officeDocument/2006/relationships/image" Target="media/image3.emf"/><Relationship Id="rId10" Type="http://schemas.openxmlformats.org/officeDocument/2006/relationships/image" Target="media/image1.png"/><Relationship Id="rId19" Type="http://schemas.openxmlformats.org/officeDocument/2006/relationships/chart" Target="charts/chart6.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intranet.subdere.gob.cl/" TargetMode="External"/><Relationship Id="rId14" Type="http://schemas.openxmlformats.org/officeDocument/2006/relationships/chart" Target="charts/chart3.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footer" Target="foot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Hoja_de_c_lculo_de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Hoja_de_c_lculo_de_Microsoft_Excel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Hoja_de_c_lculo_de_Microsoft_Excel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1" Type="http://schemas.openxmlformats.org/officeDocument/2006/relationships/oleObject" Target="file:///C:\Documents%20and%20Settings\lortiz\Configuraci&#243;n%20local\Archivos%20temporales%20de%20Internet\Content.IE5\0RTDPCXA\Graficos%20Datos%20de%20Regiones%5b1%5d.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Documents%20and%20Settings\lortiz\Configuraci&#243;n%20local\Archivos%20temporales%20de%20Internet\Content.IE5\0RTDPCXA\Graficos%20Datos%20de%20Regiones%5b1%5d.xlsx" TargetMode="External"/></Relationships>
</file>

<file path=word/charts/_rels/chart7.xml.rels><?xml version="1.0" encoding="UTF-8" standalone="yes"?>
<Relationships xmlns="http://schemas.openxmlformats.org/package/2006/relationships"><Relationship Id="rId2" Type="http://schemas.openxmlformats.org/officeDocument/2006/relationships/package" Target="../embeddings/Hoja_de_c_lculo_de_Microsoft_Excel5.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Hoja_de_c_lculo_de_Microsoft_Excel6.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Hoja_de_c_lculo_de_Microsoft_Excel7.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Hoja_de_c_lculo_de_Microsoft_Excel8.xlsx"/><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2" Type="http://schemas.openxmlformats.org/officeDocument/2006/relationships/package" Target="../embeddings/Hoja_de_c_lculo_de_Microsoft_Excel9.xlsx"/><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1" Type="http://schemas.openxmlformats.org/officeDocument/2006/relationships/oleObject" Target="file:///C:\Documents%20and%20Settings\lortiz\Configuraci&#243;n%20local\Archivos%20temporales%20de%20Internet\Content.IE5\0RTDPCXA\Datos%20Encuestas%20+%20grafico%5b1%5d.xlsx" TargetMode="External"/></Relationships>
</file>

<file path=word/charts/_rels/chart13.xml.rels><?xml version="1.0" encoding="UTF-8" standalone="yes"?>
<Relationships xmlns="http://schemas.openxmlformats.org/package/2006/relationships"><Relationship Id="rId2" Type="http://schemas.openxmlformats.org/officeDocument/2006/relationships/package" Target="../embeddings/Hoja_de_c_lculo_de_Microsoft_Excel10.xlsx"/><Relationship Id="rId1" Type="http://schemas.openxmlformats.org/officeDocument/2006/relationships/themeOverride" Target="../theme/themeOverride9.xml"/></Relationships>
</file>

<file path=word/charts/_rels/chart14.xml.rels><?xml version="1.0" encoding="UTF-8" standalone="yes"?>
<Relationships xmlns="http://schemas.openxmlformats.org/package/2006/relationships"><Relationship Id="rId2" Type="http://schemas.openxmlformats.org/officeDocument/2006/relationships/package" Target="../embeddings/Hoja_de_c_lculo_de_Microsoft_Excel11.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37"/>
    </mc:Choice>
    <mc:Fallback>
      <c:style val="37"/>
    </mc:Fallback>
  </mc:AlternateContent>
  <c:clrMapOvr bg1="lt1" tx1="dk1" bg2="lt2" tx2="dk2" accent1="accent1" accent2="accent2" accent3="accent3" accent4="accent4" accent5="accent5" accent6="accent6" hlink="hlink" folHlink="folHlink"/>
  <c:chart>
    <c:title>
      <c:tx>
        <c:rich>
          <a:bodyPr/>
          <a:lstStyle/>
          <a:p>
            <a:pPr>
              <a:defRPr/>
            </a:pPr>
            <a:r>
              <a:rPr lang="es-CL" sz="1100"/>
              <a:t>Distribución</a:t>
            </a:r>
            <a:r>
              <a:rPr lang="es-CL" sz="1100" baseline="0"/>
              <a:t> Regional de Respuestas</a:t>
            </a:r>
            <a:endParaRPr lang="es-CL" sz="1100"/>
          </a:p>
        </c:rich>
      </c:tx>
      <c:overlay val="0"/>
    </c:title>
    <c:autoTitleDeleted val="0"/>
    <c:plotArea>
      <c:layout/>
      <c:barChart>
        <c:barDir val="col"/>
        <c:grouping val="stacked"/>
        <c:varyColors val="0"/>
        <c:ser>
          <c:idx val="0"/>
          <c:order val="0"/>
          <c:invertIfNegative val="0"/>
          <c:dLbls>
            <c:dLblPos val="inEnd"/>
            <c:showLegendKey val="0"/>
            <c:showVal val="1"/>
            <c:showCatName val="0"/>
            <c:showSerName val="0"/>
            <c:showPercent val="0"/>
            <c:showBubbleSize val="0"/>
            <c:showLeaderLines val="0"/>
          </c:dLbls>
          <c:cat>
            <c:strRef>
              <c:f>'Distribución regional enc.'!$A$1:$A$13</c:f>
              <c:strCache>
                <c:ptCount val="13"/>
                <c:pt idx="0">
                  <c:v>Tarapacá</c:v>
                </c:pt>
                <c:pt idx="1">
                  <c:v>Antofagasta</c:v>
                </c:pt>
                <c:pt idx="2">
                  <c:v>Coquimbo</c:v>
                </c:pt>
                <c:pt idx="3">
                  <c:v>Valparaiso </c:v>
                </c:pt>
                <c:pt idx="4">
                  <c:v>O´Higgins</c:v>
                </c:pt>
                <c:pt idx="5">
                  <c:v>Maule</c:v>
                </c:pt>
                <c:pt idx="6">
                  <c:v>Biobio</c:v>
                </c:pt>
                <c:pt idx="7">
                  <c:v>Araucania</c:v>
                </c:pt>
                <c:pt idx="8">
                  <c:v>Los Rios</c:v>
                </c:pt>
                <c:pt idx="9">
                  <c:v>Los Lagos</c:v>
                </c:pt>
                <c:pt idx="10">
                  <c:v>Aysén</c:v>
                </c:pt>
                <c:pt idx="11">
                  <c:v>Magallanes</c:v>
                </c:pt>
                <c:pt idx="12">
                  <c:v>Metropolitana</c:v>
                </c:pt>
              </c:strCache>
            </c:strRef>
          </c:cat>
          <c:val>
            <c:numRef>
              <c:f>'Distribución regional enc.'!$B$1:$B$13</c:f>
              <c:numCache>
                <c:formatCode>General</c:formatCode>
                <c:ptCount val="13"/>
                <c:pt idx="0">
                  <c:v>3</c:v>
                </c:pt>
                <c:pt idx="1">
                  <c:v>2</c:v>
                </c:pt>
                <c:pt idx="2">
                  <c:v>1</c:v>
                </c:pt>
                <c:pt idx="3">
                  <c:v>2</c:v>
                </c:pt>
                <c:pt idx="4">
                  <c:v>6</c:v>
                </c:pt>
                <c:pt idx="5">
                  <c:v>10</c:v>
                </c:pt>
                <c:pt idx="6">
                  <c:v>22</c:v>
                </c:pt>
                <c:pt idx="7">
                  <c:v>13</c:v>
                </c:pt>
                <c:pt idx="8">
                  <c:v>2</c:v>
                </c:pt>
                <c:pt idx="9">
                  <c:v>21</c:v>
                </c:pt>
                <c:pt idx="10">
                  <c:v>1</c:v>
                </c:pt>
                <c:pt idx="11">
                  <c:v>4</c:v>
                </c:pt>
                <c:pt idx="12">
                  <c:v>3</c:v>
                </c:pt>
              </c:numCache>
            </c:numRef>
          </c:val>
        </c:ser>
        <c:dLbls>
          <c:showLegendKey val="0"/>
          <c:showVal val="0"/>
          <c:showCatName val="0"/>
          <c:showSerName val="0"/>
          <c:showPercent val="0"/>
          <c:showBubbleSize val="0"/>
        </c:dLbls>
        <c:gapWidth val="300"/>
        <c:overlap val="100"/>
        <c:axId val="182015488"/>
        <c:axId val="182017024"/>
      </c:barChart>
      <c:catAx>
        <c:axId val="182015488"/>
        <c:scaling>
          <c:orientation val="minMax"/>
        </c:scaling>
        <c:delete val="0"/>
        <c:axPos val="b"/>
        <c:numFmt formatCode="General" sourceLinked="1"/>
        <c:majorTickMark val="none"/>
        <c:minorTickMark val="none"/>
        <c:tickLblPos val="nextTo"/>
        <c:crossAx val="182017024"/>
        <c:crosses val="autoZero"/>
        <c:auto val="1"/>
        <c:lblAlgn val="ctr"/>
        <c:lblOffset val="100"/>
        <c:noMultiLvlLbl val="0"/>
      </c:catAx>
      <c:valAx>
        <c:axId val="182017024"/>
        <c:scaling>
          <c:orientation val="minMax"/>
        </c:scaling>
        <c:delete val="1"/>
        <c:axPos val="l"/>
        <c:majorGridlines/>
        <c:numFmt formatCode="General" sourceLinked="1"/>
        <c:majorTickMark val="none"/>
        <c:minorTickMark val="none"/>
        <c:tickLblPos val="nextTo"/>
        <c:crossAx val="182015488"/>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000" baseline="0"/>
          </a:pPr>
          <a:endParaRPr lang="es-CL"/>
        </a:p>
      </c:txPr>
    </c:title>
    <c:autoTitleDeleted val="0"/>
    <c:plotArea>
      <c:layout/>
      <c:barChart>
        <c:barDir val="col"/>
        <c:grouping val="clustered"/>
        <c:varyColors val="0"/>
        <c:ser>
          <c:idx val="0"/>
          <c:order val="0"/>
          <c:tx>
            <c:strRef>
              <c:f>'Pregunta Nº2'!$A$24</c:f>
              <c:strCache>
                <c:ptCount val="1"/>
                <c:pt idx="0">
                  <c:v>¿Qué le parece el proceso de postulación regional para obtener el beneficio?</c:v>
                </c:pt>
              </c:strCache>
            </c:strRef>
          </c:tx>
          <c:invertIfNegative val="0"/>
          <c:dLbls>
            <c:showLegendKey val="0"/>
            <c:showVal val="1"/>
            <c:showCatName val="0"/>
            <c:showSerName val="0"/>
            <c:showPercent val="0"/>
            <c:showBubbleSize val="0"/>
            <c:showLeaderLines val="0"/>
          </c:dLbls>
          <c:cat>
            <c:strRef>
              <c:f>'Pregunta Nº2'!$A$10:$A$11</c:f>
              <c:strCache>
                <c:ptCount val="2"/>
                <c:pt idx="0">
                  <c:v>Sencillo y Bueno</c:v>
                </c:pt>
                <c:pt idx="1">
                  <c:v>Burocrático y Falta de Información</c:v>
                </c:pt>
              </c:strCache>
            </c:strRef>
          </c:cat>
          <c:val>
            <c:numRef>
              <c:f>'Pregunta Nº2'!$B$10:$B$11</c:f>
              <c:numCache>
                <c:formatCode>General</c:formatCode>
                <c:ptCount val="2"/>
                <c:pt idx="0">
                  <c:v>71</c:v>
                </c:pt>
                <c:pt idx="1">
                  <c:v>19</c:v>
                </c:pt>
              </c:numCache>
            </c:numRef>
          </c:val>
        </c:ser>
        <c:dLbls>
          <c:showLegendKey val="0"/>
          <c:showVal val="0"/>
          <c:showCatName val="0"/>
          <c:showSerName val="0"/>
          <c:showPercent val="0"/>
          <c:showBubbleSize val="0"/>
        </c:dLbls>
        <c:gapWidth val="150"/>
        <c:axId val="197841664"/>
        <c:axId val="197843200"/>
      </c:barChart>
      <c:catAx>
        <c:axId val="197841664"/>
        <c:scaling>
          <c:orientation val="minMax"/>
        </c:scaling>
        <c:delete val="0"/>
        <c:axPos val="b"/>
        <c:majorTickMark val="out"/>
        <c:minorTickMark val="none"/>
        <c:tickLblPos val="nextTo"/>
        <c:crossAx val="197843200"/>
        <c:crosses val="autoZero"/>
        <c:auto val="1"/>
        <c:lblAlgn val="ctr"/>
        <c:lblOffset val="100"/>
        <c:noMultiLvlLbl val="0"/>
      </c:catAx>
      <c:valAx>
        <c:axId val="197843200"/>
        <c:scaling>
          <c:orientation val="minMax"/>
        </c:scaling>
        <c:delete val="1"/>
        <c:axPos val="l"/>
        <c:majorGridlines/>
        <c:numFmt formatCode="General" sourceLinked="1"/>
        <c:majorTickMark val="out"/>
        <c:minorTickMark val="none"/>
        <c:tickLblPos val="nextTo"/>
        <c:crossAx val="197841664"/>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'Pregunta 2,2'!$A$24</c:f>
              <c:strCache>
                <c:ptCount val="1"/>
                <c:pt idx="0">
                  <c:v>Detalles del proceso de postulación</c:v>
                </c:pt>
              </c:strCache>
            </c:strRef>
          </c:tx>
          <c:invertIfNegative val="0"/>
          <c:dLbls>
            <c:showLegendKey val="0"/>
            <c:showVal val="1"/>
            <c:showCatName val="0"/>
            <c:showSerName val="0"/>
            <c:showPercent val="0"/>
            <c:showBubbleSize val="0"/>
            <c:showLeaderLines val="0"/>
          </c:dLbls>
          <c:cat>
            <c:strRef>
              <c:f>'Pregunta 2,2'!$A$2:$A$9</c:f>
              <c:strCache>
                <c:ptCount val="8"/>
                <c:pt idx="0">
                  <c:v>Encargados Reg. Buena gestión</c:v>
                </c:pt>
                <c:pt idx="1">
                  <c:v>Antecedentes Claros</c:v>
                </c:pt>
                <c:pt idx="2">
                  <c:v>No dan detalle</c:v>
                </c:pt>
                <c:pt idx="3">
                  <c:v>Inf. poco clara</c:v>
                </c:pt>
                <c:pt idx="4">
                  <c:v>Engorroso proceso en la U.</c:v>
                </c:pt>
                <c:pt idx="5">
                  <c:v>Difusión tardia</c:v>
                </c:pt>
                <c:pt idx="6">
                  <c:v>Poca claridad en el pago</c:v>
                </c:pt>
                <c:pt idx="7">
                  <c:v>Aislamiento dificulta entrega de Doc.</c:v>
                </c:pt>
              </c:strCache>
            </c:strRef>
          </c:cat>
          <c:val>
            <c:numRef>
              <c:f>'Pregunta 2,2'!$B$2:$B$9</c:f>
              <c:numCache>
                <c:formatCode>General</c:formatCode>
                <c:ptCount val="8"/>
                <c:pt idx="0">
                  <c:v>13</c:v>
                </c:pt>
                <c:pt idx="1">
                  <c:v>21</c:v>
                </c:pt>
                <c:pt idx="2">
                  <c:v>36</c:v>
                </c:pt>
                <c:pt idx="3">
                  <c:v>7</c:v>
                </c:pt>
                <c:pt idx="4">
                  <c:v>6</c:v>
                </c:pt>
                <c:pt idx="5">
                  <c:v>4</c:v>
                </c:pt>
                <c:pt idx="6">
                  <c:v>1</c:v>
                </c:pt>
                <c:pt idx="7">
                  <c:v>2</c:v>
                </c:pt>
              </c:numCache>
            </c:numRef>
          </c:val>
        </c:ser>
        <c:dLbls>
          <c:showLegendKey val="0"/>
          <c:showVal val="0"/>
          <c:showCatName val="0"/>
          <c:showSerName val="0"/>
          <c:showPercent val="0"/>
          <c:showBubbleSize val="0"/>
        </c:dLbls>
        <c:gapWidth val="150"/>
        <c:axId val="197835008"/>
        <c:axId val="198324224"/>
      </c:barChart>
      <c:catAx>
        <c:axId val="197835008"/>
        <c:scaling>
          <c:orientation val="minMax"/>
        </c:scaling>
        <c:delete val="0"/>
        <c:axPos val="b"/>
        <c:numFmt formatCode="General" sourceLinked="1"/>
        <c:majorTickMark val="none"/>
        <c:minorTickMark val="none"/>
        <c:tickLblPos val="nextTo"/>
        <c:txPr>
          <a:bodyPr rot="-2700000" vert="horz"/>
          <a:lstStyle/>
          <a:p>
            <a:pPr>
              <a:defRPr sz="800" b="0" i="0" u="none" strike="noStrike" baseline="0">
                <a:solidFill>
                  <a:srgbClr val="000000"/>
                </a:solidFill>
                <a:latin typeface="Calibri"/>
                <a:ea typeface="Calibri"/>
                <a:cs typeface="Calibri"/>
              </a:defRPr>
            </a:pPr>
            <a:endParaRPr lang="es-CL"/>
          </a:p>
        </c:txPr>
        <c:crossAx val="198324224"/>
        <c:crosses val="autoZero"/>
        <c:auto val="1"/>
        <c:lblAlgn val="ctr"/>
        <c:lblOffset val="100"/>
        <c:noMultiLvlLbl val="0"/>
      </c:catAx>
      <c:valAx>
        <c:axId val="198324224"/>
        <c:scaling>
          <c:orientation val="minMax"/>
        </c:scaling>
        <c:delete val="0"/>
        <c:axPos val="l"/>
        <c:majorGridlines/>
        <c:title>
          <c:tx>
            <c:rich>
              <a:bodyPr/>
              <a:lstStyle/>
              <a:p>
                <a:pPr>
                  <a:defRPr/>
                </a:pPr>
                <a:r>
                  <a:rPr lang="es-CL"/>
                  <a:t>Número de respuestas</a:t>
                </a:r>
              </a:p>
            </c:rich>
          </c:tx>
          <c:overlay val="0"/>
        </c:title>
        <c:numFmt formatCode="General" sourceLinked="1"/>
        <c:majorTickMark val="none"/>
        <c:minorTickMark val="none"/>
        <c:tickLblPos val="nextTo"/>
        <c:crossAx val="197835008"/>
        <c:crosses val="autoZero"/>
        <c:crossBetween val="between"/>
      </c:valAx>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s-CL"/>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0555555555555555E-2"/>
          <c:y val="7.702474690663666E-2"/>
          <c:w val="0.93888888888888888"/>
          <c:h val="0.57336938651899283"/>
        </c:manualLayout>
      </c:layout>
      <c:barChart>
        <c:barDir val="col"/>
        <c:grouping val="clustered"/>
        <c:varyColors val="0"/>
        <c:ser>
          <c:idx val="0"/>
          <c:order val="0"/>
          <c:tx>
            <c:strRef>
              <c:f>'Pregunta 10'!$A$3</c:f>
              <c:strCache>
                <c:ptCount val="1"/>
                <c:pt idx="0">
                  <c:v>¿Ayuda la Ley al desarrollo de una comuna vulnerable?</c:v>
                </c:pt>
              </c:strCache>
            </c:strRef>
          </c:tx>
          <c:invertIfNegative val="0"/>
          <c:dLbls>
            <c:showLegendKey val="0"/>
            <c:showVal val="1"/>
            <c:showCatName val="0"/>
            <c:showSerName val="0"/>
            <c:showPercent val="0"/>
            <c:showBubbleSize val="0"/>
            <c:showLeaderLines val="0"/>
          </c:dLbls>
          <c:cat>
            <c:strRef>
              <c:f>'Pregunta 10'!$C$6:$C$10</c:f>
              <c:strCache>
                <c:ptCount val="5"/>
                <c:pt idx="0">
                  <c:v>Fomenta al Municipio, pero falta Impacto</c:v>
                </c:pt>
                <c:pt idx="1">
                  <c:v>Omisión</c:v>
                </c:pt>
                <c:pt idx="2">
                  <c:v>Mayor es el aporte para el profesional</c:v>
                </c:pt>
                <c:pt idx="3">
                  <c:v>No, pocos cupos</c:v>
                </c:pt>
                <c:pt idx="4">
                  <c:v>Incentiva la permanencia del profesional</c:v>
                </c:pt>
              </c:strCache>
            </c:strRef>
          </c:cat>
          <c:val>
            <c:numRef>
              <c:f>'Pregunta 10'!$D$6:$D$10</c:f>
              <c:numCache>
                <c:formatCode>General</c:formatCode>
                <c:ptCount val="5"/>
                <c:pt idx="0">
                  <c:v>61</c:v>
                </c:pt>
                <c:pt idx="1">
                  <c:v>2</c:v>
                </c:pt>
                <c:pt idx="2">
                  <c:v>7</c:v>
                </c:pt>
                <c:pt idx="3">
                  <c:v>14</c:v>
                </c:pt>
                <c:pt idx="4">
                  <c:v>6</c:v>
                </c:pt>
              </c:numCache>
            </c:numRef>
          </c:val>
        </c:ser>
        <c:dLbls>
          <c:showLegendKey val="0"/>
          <c:showVal val="0"/>
          <c:showCatName val="0"/>
          <c:showSerName val="0"/>
          <c:showPercent val="0"/>
          <c:showBubbleSize val="0"/>
        </c:dLbls>
        <c:gapWidth val="75"/>
        <c:axId val="198451200"/>
        <c:axId val="198452736"/>
      </c:barChart>
      <c:catAx>
        <c:axId val="198451200"/>
        <c:scaling>
          <c:orientation val="minMax"/>
        </c:scaling>
        <c:delete val="0"/>
        <c:axPos val="b"/>
        <c:numFmt formatCode="General" sourceLinked="1"/>
        <c:majorTickMark val="none"/>
        <c:minorTickMark val="none"/>
        <c:tickLblPos val="nextTo"/>
        <c:crossAx val="198452736"/>
        <c:crosses val="autoZero"/>
        <c:auto val="1"/>
        <c:lblAlgn val="ctr"/>
        <c:lblOffset val="100"/>
        <c:noMultiLvlLbl val="0"/>
      </c:catAx>
      <c:valAx>
        <c:axId val="198452736"/>
        <c:scaling>
          <c:orientation val="minMax"/>
        </c:scaling>
        <c:delete val="1"/>
        <c:axPos val="l"/>
        <c:numFmt formatCode="General" sourceLinked="1"/>
        <c:majorTickMark val="out"/>
        <c:minorTickMark val="none"/>
        <c:tickLblPos val="nextTo"/>
        <c:crossAx val="198451200"/>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'[Graficos Datos de Regiones(1).xlsx]Universidad'!$A$3</c:f>
              <c:strCache>
                <c:ptCount val="1"/>
                <c:pt idx="0">
                  <c:v>Universidad de Egreso</c:v>
                </c:pt>
              </c:strCache>
            </c:strRef>
          </c:tx>
          <c:invertIfNegative val="0"/>
          <c:dLbls>
            <c:showLegendKey val="0"/>
            <c:showVal val="1"/>
            <c:showCatName val="0"/>
            <c:showSerName val="0"/>
            <c:showPercent val="0"/>
            <c:showBubbleSize val="0"/>
            <c:showLeaderLines val="0"/>
          </c:dLbls>
          <c:cat>
            <c:strRef>
              <c:f>'[Graficos Datos de Regiones(1).xlsx]Universidad'!$A$5:$A$29</c:f>
              <c:strCache>
                <c:ptCount val="25"/>
                <c:pt idx="0">
                  <c:v>U. Católica de Valparaíso</c:v>
                </c:pt>
                <c:pt idx="1">
                  <c:v>U. Católica de la SSMA. Concep</c:v>
                </c:pt>
                <c:pt idx="2">
                  <c:v>U.de Los Lagos</c:v>
                </c:pt>
                <c:pt idx="3">
                  <c:v>U. Católica de Temuco</c:v>
                </c:pt>
                <c:pt idx="4">
                  <c:v>UNAP</c:v>
                </c:pt>
                <c:pt idx="5">
                  <c:v>U.Austral</c:v>
                </c:pt>
                <c:pt idx="6">
                  <c:v>U.de Tarapacá</c:v>
                </c:pt>
                <c:pt idx="7">
                  <c:v>U.de Concepción</c:v>
                </c:pt>
                <c:pt idx="8">
                  <c:v>U.de Chile</c:v>
                </c:pt>
                <c:pt idx="9">
                  <c:v>U.de Biobio</c:v>
                </c:pt>
                <c:pt idx="10">
                  <c:v>UFRO</c:v>
                </c:pt>
                <c:pt idx="11">
                  <c:v>U.de Valparaíso</c:v>
                </c:pt>
                <c:pt idx="12">
                  <c:v>U.de Talca</c:v>
                </c:pt>
                <c:pt idx="13">
                  <c:v>U.de Playa Ancha</c:v>
                </c:pt>
                <c:pt idx="14">
                  <c:v>U.de Magalllanes</c:v>
                </c:pt>
                <c:pt idx="15">
                  <c:v>U.de Santiago</c:v>
                </c:pt>
                <c:pt idx="16">
                  <c:v>UTEM</c:v>
                </c:pt>
                <c:pt idx="17">
                  <c:v>U.de La Serena</c:v>
                </c:pt>
                <c:pt idx="18">
                  <c:v>U.Católica del Maule</c:v>
                </c:pt>
                <c:pt idx="19">
                  <c:v>U.de Antofagasta</c:v>
                </c:pt>
                <c:pt idx="20">
                  <c:v>U.Católica Silva H</c:v>
                </c:pt>
                <c:pt idx="21">
                  <c:v>U.Católica </c:v>
                </c:pt>
                <c:pt idx="22">
                  <c:v>CFT San Agustín</c:v>
                </c:pt>
                <c:pt idx="23">
                  <c:v>U. Aconcagua</c:v>
                </c:pt>
                <c:pt idx="24">
                  <c:v>U.Técnica FSM Valpo</c:v>
                </c:pt>
              </c:strCache>
            </c:strRef>
          </c:cat>
          <c:val>
            <c:numRef>
              <c:f>'[Graficos Datos de Regiones(1).xlsx]Universidad'!$B$5:$B$29</c:f>
              <c:numCache>
                <c:formatCode>General</c:formatCode>
                <c:ptCount val="25"/>
                <c:pt idx="0">
                  <c:v>5</c:v>
                </c:pt>
                <c:pt idx="1">
                  <c:v>25</c:v>
                </c:pt>
                <c:pt idx="2">
                  <c:v>11</c:v>
                </c:pt>
                <c:pt idx="3">
                  <c:v>8</c:v>
                </c:pt>
                <c:pt idx="4">
                  <c:v>4</c:v>
                </c:pt>
                <c:pt idx="5">
                  <c:v>22</c:v>
                </c:pt>
                <c:pt idx="6">
                  <c:v>3</c:v>
                </c:pt>
                <c:pt idx="7">
                  <c:v>28</c:v>
                </c:pt>
                <c:pt idx="8">
                  <c:v>2</c:v>
                </c:pt>
                <c:pt idx="9">
                  <c:v>6</c:v>
                </c:pt>
                <c:pt idx="10">
                  <c:v>23</c:v>
                </c:pt>
                <c:pt idx="11">
                  <c:v>5</c:v>
                </c:pt>
                <c:pt idx="12">
                  <c:v>8</c:v>
                </c:pt>
                <c:pt idx="13">
                  <c:v>2</c:v>
                </c:pt>
                <c:pt idx="14">
                  <c:v>13</c:v>
                </c:pt>
                <c:pt idx="15">
                  <c:v>6</c:v>
                </c:pt>
                <c:pt idx="16">
                  <c:v>3</c:v>
                </c:pt>
                <c:pt idx="17">
                  <c:v>3</c:v>
                </c:pt>
                <c:pt idx="18">
                  <c:v>2</c:v>
                </c:pt>
                <c:pt idx="19">
                  <c:v>3</c:v>
                </c:pt>
                <c:pt idx="20">
                  <c:v>1</c:v>
                </c:pt>
                <c:pt idx="21">
                  <c:v>2</c:v>
                </c:pt>
                <c:pt idx="22">
                  <c:v>1</c:v>
                </c:pt>
                <c:pt idx="23">
                  <c:v>2</c:v>
                </c:pt>
                <c:pt idx="24">
                  <c:v>1</c:v>
                </c:pt>
              </c:numCache>
            </c:numRef>
          </c:val>
        </c:ser>
        <c:dLbls>
          <c:showLegendKey val="0"/>
          <c:showVal val="0"/>
          <c:showCatName val="0"/>
          <c:showSerName val="0"/>
          <c:showPercent val="0"/>
          <c:showBubbleSize val="0"/>
        </c:dLbls>
        <c:gapWidth val="150"/>
        <c:axId val="198661632"/>
        <c:axId val="198663168"/>
      </c:barChart>
      <c:catAx>
        <c:axId val="198661632"/>
        <c:scaling>
          <c:orientation val="minMax"/>
        </c:scaling>
        <c:delete val="0"/>
        <c:axPos val="b"/>
        <c:majorTickMark val="none"/>
        <c:minorTickMark val="none"/>
        <c:tickLblPos val="nextTo"/>
        <c:txPr>
          <a:bodyPr/>
          <a:lstStyle/>
          <a:p>
            <a:pPr>
              <a:defRPr sz="800"/>
            </a:pPr>
            <a:endParaRPr lang="es-CL"/>
          </a:p>
        </c:txPr>
        <c:crossAx val="198663168"/>
        <c:crosses val="autoZero"/>
        <c:auto val="1"/>
        <c:lblAlgn val="ctr"/>
        <c:lblOffset val="100"/>
        <c:noMultiLvlLbl val="0"/>
      </c:catAx>
      <c:valAx>
        <c:axId val="198663168"/>
        <c:scaling>
          <c:orientation val="minMax"/>
        </c:scaling>
        <c:delete val="0"/>
        <c:axPos val="l"/>
        <c:majorGridlines/>
        <c:title>
          <c:tx>
            <c:rich>
              <a:bodyPr/>
              <a:lstStyle/>
              <a:p>
                <a:pPr>
                  <a:defRPr/>
                </a:pPr>
                <a:r>
                  <a:rPr lang="es-CL" b="0"/>
                  <a:t>Número de casos</a:t>
                </a:r>
              </a:p>
            </c:rich>
          </c:tx>
          <c:overlay val="0"/>
        </c:title>
        <c:numFmt formatCode="General" sourceLinked="1"/>
        <c:majorTickMark val="none"/>
        <c:minorTickMark val="none"/>
        <c:tickLblPos val="nextTo"/>
        <c:crossAx val="198661632"/>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'[Graficos Datos de Regiones(1).xlsx]Profesión'!$A$2</c:f>
              <c:strCache>
                <c:ptCount val="1"/>
                <c:pt idx="0">
                  <c:v>Profesión</c:v>
                </c:pt>
              </c:strCache>
            </c:strRef>
          </c:tx>
          <c:invertIfNegative val="0"/>
          <c:cat>
            <c:strRef>
              <c:f>'[Graficos Datos de Regiones(1).xlsx]Profesión'!$A$4:$A$37</c:f>
              <c:strCache>
                <c:ptCount val="34"/>
                <c:pt idx="0">
                  <c:v>Contador Auditor</c:v>
                </c:pt>
                <c:pt idx="1">
                  <c:v>Ing.Comercial</c:v>
                </c:pt>
                <c:pt idx="2">
                  <c:v>Asistente Social</c:v>
                </c:pt>
                <c:pt idx="3">
                  <c:v>Arquitecto</c:v>
                </c:pt>
                <c:pt idx="4">
                  <c:v>Ing. Agronomo</c:v>
                </c:pt>
                <c:pt idx="5">
                  <c:v>Cirujano Dentista</c:v>
                </c:pt>
                <c:pt idx="6">
                  <c:v>Ing. Constructor</c:v>
                </c:pt>
                <c:pt idx="7">
                  <c:v>Enfermero (a)</c:v>
                </c:pt>
                <c:pt idx="8">
                  <c:v>Psicologo</c:v>
                </c:pt>
                <c:pt idx="9">
                  <c:v>Profesor</c:v>
                </c:pt>
                <c:pt idx="10">
                  <c:v>Medito Veterinario</c:v>
                </c:pt>
                <c:pt idx="11">
                  <c:v>Abogado</c:v>
                </c:pt>
                <c:pt idx="12">
                  <c:v>Periodista</c:v>
                </c:pt>
                <c:pt idx="13">
                  <c:v>Ing.en Ejec. Agricola</c:v>
                </c:pt>
                <c:pt idx="14">
                  <c:v>Ing.en madera</c:v>
                </c:pt>
                <c:pt idx="15">
                  <c:v>Admins. Público</c:v>
                </c:pt>
                <c:pt idx="16">
                  <c:v>Geógrafo</c:v>
                </c:pt>
                <c:pt idx="17">
                  <c:v>Tec.en Adminis.</c:v>
                </c:pt>
                <c:pt idx="18">
                  <c:v>Ing.Forestal</c:v>
                </c:pt>
                <c:pt idx="19">
                  <c:v>Educadora de Parvulo</c:v>
                </c:pt>
                <c:pt idx="20">
                  <c:v>Nutricionista</c:v>
                </c:pt>
                <c:pt idx="21">
                  <c:v>Constructor Civil</c:v>
                </c:pt>
                <c:pt idx="22">
                  <c:v>Fonoaudiologa</c:v>
                </c:pt>
                <c:pt idx="23">
                  <c:v>Médico</c:v>
                </c:pt>
                <c:pt idx="24">
                  <c:v>Quimico Marino</c:v>
                </c:pt>
                <c:pt idx="25">
                  <c:v>Tecnologo Médico</c:v>
                </c:pt>
                <c:pt idx="26">
                  <c:v>Matrona</c:v>
                </c:pt>
                <c:pt idx="27">
                  <c:v>Adm.de Empresa</c:v>
                </c:pt>
                <c:pt idx="28">
                  <c:v>Ing.Pesquero</c:v>
                </c:pt>
                <c:pt idx="29">
                  <c:v>Kinesiologa</c:v>
                </c:pt>
                <c:pt idx="30">
                  <c:v>Tec.Obras Civiles</c:v>
                </c:pt>
                <c:pt idx="31">
                  <c:v>Sociologo</c:v>
                </c:pt>
                <c:pt idx="32">
                  <c:v>Ing.Ambiental</c:v>
                </c:pt>
                <c:pt idx="33">
                  <c:v>Ing.en Gestión Turistica</c:v>
                </c:pt>
              </c:strCache>
            </c:strRef>
          </c:cat>
          <c:val>
            <c:numRef>
              <c:f>'[Graficos Datos de Regiones(1).xlsx]Profesión'!$B$4:$B$37</c:f>
              <c:numCache>
                <c:formatCode>General</c:formatCode>
                <c:ptCount val="34"/>
                <c:pt idx="0">
                  <c:v>15</c:v>
                </c:pt>
                <c:pt idx="1">
                  <c:v>15</c:v>
                </c:pt>
                <c:pt idx="2">
                  <c:v>26</c:v>
                </c:pt>
                <c:pt idx="3">
                  <c:v>9</c:v>
                </c:pt>
                <c:pt idx="4">
                  <c:v>12</c:v>
                </c:pt>
                <c:pt idx="5">
                  <c:v>6</c:v>
                </c:pt>
                <c:pt idx="6">
                  <c:v>3</c:v>
                </c:pt>
                <c:pt idx="7">
                  <c:v>11</c:v>
                </c:pt>
                <c:pt idx="8">
                  <c:v>4</c:v>
                </c:pt>
                <c:pt idx="9">
                  <c:v>24</c:v>
                </c:pt>
                <c:pt idx="10">
                  <c:v>4</c:v>
                </c:pt>
                <c:pt idx="11">
                  <c:v>5</c:v>
                </c:pt>
                <c:pt idx="12">
                  <c:v>1</c:v>
                </c:pt>
                <c:pt idx="13">
                  <c:v>4</c:v>
                </c:pt>
                <c:pt idx="14">
                  <c:v>1</c:v>
                </c:pt>
                <c:pt idx="15">
                  <c:v>5</c:v>
                </c:pt>
                <c:pt idx="16">
                  <c:v>3</c:v>
                </c:pt>
                <c:pt idx="17">
                  <c:v>1</c:v>
                </c:pt>
                <c:pt idx="18">
                  <c:v>3</c:v>
                </c:pt>
                <c:pt idx="19">
                  <c:v>4</c:v>
                </c:pt>
                <c:pt idx="20">
                  <c:v>2</c:v>
                </c:pt>
                <c:pt idx="21">
                  <c:v>11</c:v>
                </c:pt>
                <c:pt idx="22">
                  <c:v>1</c:v>
                </c:pt>
                <c:pt idx="23">
                  <c:v>6</c:v>
                </c:pt>
                <c:pt idx="24">
                  <c:v>1</c:v>
                </c:pt>
                <c:pt idx="25">
                  <c:v>1</c:v>
                </c:pt>
                <c:pt idx="26">
                  <c:v>5</c:v>
                </c:pt>
                <c:pt idx="27">
                  <c:v>1</c:v>
                </c:pt>
                <c:pt idx="28">
                  <c:v>1</c:v>
                </c:pt>
                <c:pt idx="29">
                  <c:v>1</c:v>
                </c:pt>
                <c:pt idx="30">
                  <c:v>1</c:v>
                </c:pt>
                <c:pt idx="31">
                  <c:v>1</c:v>
                </c:pt>
                <c:pt idx="32">
                  <c:v>2</c:v>
                </c:pt>
                <c:pt idx="33">
                  <c:v>1</c:v>
                </c:pt>
              </c:numCache>
            </c:numRef>
          </c:val>
        </c:ser>
        <c:dLbls>
          <c:showLegendKey val="0"/>
          <c:showVal val="1"/>
          <c:showCatName val="0"/>
          <c:showSerName val="0"/>
          <c:showPercent val="0"/>
          <c:showBubbleSize val="0"/>
        </c:dLbls>
        <c:gapWidth val="150"/>
        <c:axId val="198671744"/>
        <c:axId val="198681728"/>
      </c:barChart>
      <c:catAx>
        <c:axId val="198671744"/>
        <c:scaling>
          <c:orientation val="minMax"/>
        </c:scaling>
        <c:delete val="0"/>
        <c:axPos val="b"/>
        <c:majorTickMark val="none"/>
        <c:minorTickMark val="none"/>
        <c:tickLblPos val="nextTo"/>
        <c:txPr>
          <a:bodyPr/>
          <a:lstStyle/>
          <a:p>
            <a:pPr>
              <a:defRPr sz="780" b="1"/>
            </a:pPr>
            <a:endParaRPr lang="es-CL"/>
          </a:p>
        </c:txPr>
        <c:crossAx val="198681728"/>
        <c:crosses val="autoZero"/>
        <c:auto val="1"/>
        <c:lblAlgn val="ctr"/>
        <c:lblOffset val="100"/>
        <c:noMultiLvlLbl val="0"/>
      </c:catAx>
      <c:valAx>
        <c:axId val="198681728"/>
        <c:scaling>
          <c:orientation val="minMax"/>
        </c:scaling>
        <c:delete val="0"/>
        <c:axPos val="l"/>
        <c:majorGridlines/>
        <c:title>
          <c:tx>
            <c:rich>
              <a:bodyPr/>
              <a:lstStyle/>
              <a:p>
                <a:pPr>
                  <a:defRPr/>
                </a:pPr>
                <a:r>
                  <a:rPr lang="es-CL" b="0"/>
                  <a:t>Número de casos</a:t>
                </a:r>
              </a:p>
            </c:rich>
          </c:tx>
          <c:overlay val="0"/>
        </c:title>
        <c:numFmt formatCode="General" sourceLinked="1"/>
        <c:majorTickMark val="none"/>
        <c:minorTickMark val="none"/>
        <c:tickLblPos val="nextTo"/>
        <c:crossAx val="198671744"/>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dLblPos val="inEnd"/>
            <c:showLegendKey val="0"/>
            <c:showVal val="1"/>
            <c:showCatName val="0"/>
            <c:showSerName val="0"/>
            <c:showPercent val="0"/>
            <c:showBubbleSize val="0"/>
            <c:showLeaderLines val="0"/>
          </c:dLbls>
          <c:cat>
            <c:strRef>
              <c:f>'Pregunta 7'!$A$4:$A$6</c:f>
              <c:strCache>
                <c:ptCount val="3"/>
                <c:pt idx="0">
                  <c:v>Prodemu</c:v>
                </c:pt>
                <c:pt idx="1">
                  <c:v>Proyectos sociales</c:v>
                </c:pt>
                <c:pt idx="2">
                  <c:v>DIDECO</c:v>
                </c:pt>
              </c:strCache>
            </c:strRef>
          </c:cat>
          <c:val>
            <c:numRef>
              <c:f>'Pregunta 7'!$B$4:$B$6</c:f>
              <c:numCache>
                <c:formatCode>General</c:formatCode>
                <c:ptCount val="3"/>
                <c:pt idx="0">
                  <c:v>3</c:v>
                </c:pt>
                <c:pt idx="1">
                  <c:v>14</c:v>
                </c:pt>
                <c:pt idx="2">
                  <c:v>6</c:v>
                </c:pt>
              </c:numCache>
            </c:numRef>
          </c:val>
        </c:ser>
        <c:dLbls>
          <c:showLegendKey val="0"/>
          <c:showVal val="0"/>
          <c:showCatName val="0"/>
          <c:showSerName val="0"/>
          <c:showPercent val="0"/>
          <c:showBubbleSize val="0"/>
        </c:dLbls>
        <c:gapWidth val="75"/>
        <c:overlap val="40"/>
        <c:axId val="198570752"/>
        <c:axId val="198572288"/>
      </c:barChart>
      <c:catAx>
        <c:axId val="198570752"/>
        <c:scaling>
          <c:orientation val="minMax"/>
        </c:scaling>
        <c:delete val="0"/>
        <c:axPos val="b"/>
        <c:numFmt formatCode="General" sourceLinked="1"/>
        <c:majorTickMark val="none"/>
        <c:minorTickMark val="none"/>
        <c:tickLblPos val="nextTo"/>
        <c:crossAx val="198572288"/>
        <c:crosses val="autoZero"/>
        <c:auto val="1"/>
        <c:lblAlgn val="ctr"/>
        <c:lblOffset val="100"/>
        <c:noMultiLvlLbl val="0"/>
      </c:catAx>
      <c:valAx>
        <c:axId val="198572288"/>
        <c:scaling>
          <c:orientation val="minMax"/>
        </c:scaling>
        <c:delete val="1"/>
        <c:axPos val="l"/>
        <c:majorGridlines/>
        <c:numFmt formatCode="General" sourceLinked="1"/>
        <c:majorTickMark val="out"/>
        <c:minorTickMark val="none"/>
        <c:tickLblPos val="nextTo"/>
        <c:crossAx val="198570752"/>
        <c:crosses val="autoZero"/>
        <c:crossBetween val="between"/>
      </c:valAx>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dLblPos val="inEnd"/>
            <c:showLegendKey val="0"/>
            <c:showVal val="1"/>
            <c:showCatName val="0"/>
            <c:showSerName val="0"/>
            <c:showPercent val="0"/>
            <c:showBubbleSize val="0"/>
            <c:showLeaderLines val="0"/>
          </c:dLbls>
          <c:cat>
            <c:strRef>
              <c:f>'Pregunta 7'!$A$18:$A$23</c:f>
              <c:strCache>
                <c:ptCount val="6"/>
                <c:pt idx="0">
                  <c:v>Add.Municipal</c:v>
                </c:pt>
                <c:pt idx="1">
                  <c:v>Contabilidad</c:v>
                </c:pt>
                <c:pt idx="2">
                  <c:v>Ley Transparencia</c:v>
                </c:pt>
                <c:pt idx="3">
                  <c:v>Unidad Juridica</c:v>
                </c:pt>
                <c:pt idx="4">
                  <c:v>Presupuesto Municipal</c:v>
                </c:pt>
                <c:pt idx="5">
                  <c:v>Adquisión</c:v>
                </c:pt>
              </c:strCache>
            </c:strRef>
          </c:cat>
          <c:val>
            <c:numRef>
              <c:f>'Pregunta 7'!$B$18:$B$23</c:f>
              <c:numCache>
                <c:formatCode>General</c:formatCode>
                <c:ptCount val="6"/>
                <c:pt idx="0">
                  <c:v>4</c:v>
                </c:pt>
                <c:pt idx="1">
                  <c:v>7</c:v>
                </c:pt>
                <c:pt idx="2">
                  <c:v>1</c:v>
                </c:pt>
                <c:pt idx="3">
                  <c:v>1</c:v>
                </c:pt>
                <c:pt idx="4">
                  <c:v>1</c:v>
                </c:pt>
                <c:pt idx="5">
                  <c:v>1</c:v>
                </c:pt>
              </c:numCache>
            </c:numRef>
          </c:val>
        </c:ser>
        <c:dLbls>
          <c:showLegendKey val="0"/>
          <c:showVal val="0"/>
          <c:showCatName val="0"/>
          <c:showSerName val="0"/>
          <c:showPercent val="0"/>
          <c:showBubbleSize val="0"/>
        </c:dLbls>
        <c:gapWidth val="75"/>
        <c:overlap val="40"/>
        <c:axId val="199747456"/>
        <c:axId val="199748992"/>
      </c:barChart>
      <c:catAx>
        <c:axId val="199747456"/>
        <c:scaling>
          <c:orientation val="minMax"/>
        </c:scaling>
        <c:delete val="0"/>
        <c:axPos val="b"/>
        <c:numFmt formatCode="General" sourceLinked="1"/>
        <c:majorTickMark val="none"/>
        <c:minorTickMark val="none"/>
        <c:tickLblPos val="nextTo"/>
        <c:txPr>
          <a:bodyPr/>
          <a:lstStyle/>
          <a:p>
            <a:pPr>
              <a:defRPr sz="700"/>
            </a:pPr>
            <a:endParaRPr lang="es-CL"/>
          </a:p>
        </c:txPr>
        <c:crossAx val="199748992"/>
        <c:crosses val="autoZero"/>
        <c:auto val="1"/>
        <c:lblAlgn val="ctr"/>
        <c:lblOffset val="100"/>
        <c:noMultiLvlLbl val="0"/>
      </c:catAx>
      <c:valAx>
        <c:axId val="199748992"/>
        <c:scaling>
          <c:orientation val="minMax"/>
        </c:scaling>
        <c:delete val="1"/>
        <c:axPos val="l"/>
        <c:majorGridlines/>
        <c:numFmt formatCode="General" sourceLinked="1"/>
        <c:majorTickMark val="out"/>
        <c:minorTickMark val="none"/>
        <c:tickLblPos val="nextTo"/>
        <c:crossAx val="199747456"/>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txPr>
              <a:bodyPr/>
              <a:lstStyle/>
              <a:p>
                <a:pPr>
                  <a:defRPr sz="1002" b="0" i="0" u="none" strike="noStrike" baseline="0">
                    <a:solidFill>
                      <a:srgbClr val="000000"/>
                    </a:solidFill>
                    <a:latin typeface="Calibri"/>
                    <a:ea typeface="Calibri"/>
                    <a:cs typeface="Calibri"/>
                  </a:defRPr>
                </a:pPr>
                <a:endParaRPr lang="es-CL"/>
              </a:p>
            </c:txPr>
            <c:dLblPos val="inEnd"/>
            <c:showLegendKey val="0"/>
            <c:showVal val="1"/>
            <c:showCatName val="0"/>
            <c:showSerName val="0"/>
            <c:showPercent val="0"/>
            <c:showBubbleSize val="0"/>
            <c:showLeaderLines val="0"/>
          </c:dLbls>
          <c:cat>
            <c:strRef>
              <c:f>'Pregunta 7'!$A$30:$A$35</c:f>
              <c:strCache>
                <c:ptCount val="6"/>
                <c:pt idx="0">
                  <c:v>CESFAM</c:v>
                </c:pt>
                <c:pt idx="1">
                  <c:v>Odontólogo</c:v>
                </c:pt>
                <c:pt idx="2">
                  <c:v>Nutricionista</c:v>
                </c:pt>
                <c:pt idx="3">
                  <c:v>Enfermero (a)</c:v>
                </c:pt>
                <c:pt idx="4">
                  <c:v>Farmaceutica</c:v>
                </c:pt>
                <c:pt idx="5">
                  <c:v>Atención Posta Rural</c:v>
                </c:pt>
              </c:strCache>
            </c:strRef>
          </c:cat>
          <c:val>
            <c:numRef>
              <c:f>'Pregunta 7'!$B$30:$B$35</c:f>
              <c:numCache>
                <c:formatCode>General</c:formatCode>
                <c:ptCount val="6"/>
                <c:pt idx="0">
                  <c:v>4</c:v>
                </c:pt>
                <c:pt idx="1">
                  <c:v>2</c:v>
                </c:pt>
                <c:pt idx="2">
                  <c:v>2</c:v>
                </c:pt>
                <c:pt idx="3">
                  <c:v>2</c:v>
                </c:pt>
                <c:pt idx="4">
                  <c:v>1</c:v>
                </c:pt>
                <c:pt idx="5">
                  <c:v>1</c:v>
                </c:pt>
              </c:numCache>
            </c:numRef>
          </c:val>
        </c:ser>
        <c:dLbls>
          <c:showLegendKey val="0"/>
          <c:showVal val="0"/>
          <c:showCatName val="0"/>
          <c:showSerName val="0"/>
          <c:showPercent val="0"/>
          <c:showBubbleSize val="0"/>
        </c:dLbls>
        <c:gapWidth val="75"/>
        <c:overlap val="40"/>
        <c:axId val="199941120"/>
        <c:axId val="199942912"/>
      </c:barChart>
      <c:catAx>
        <c:axId val="199941120"/>
        <c:scaling>
          <c:orientation val="minMax"/>
        </c:scaling>
        <c:delete val="0"/>
        <c:axPos val="b"/>
        <c:numFmt formatCode="General" sourceLinked="1"/>
        <c:majorTickMark val="none"/>
        <c:minorTickMark val="none"/>
        <c:tickLblPos val="nextTo"/>
        <c:txPr>
          <a:bodyPr rot="-2700000" vert="horz"/>
          <a:lstStyle/>
          <a:p>
            <a:pPr>
              <a:defRPr sz="801" b="0" i="0" u="none" strike="noStrike" baseline="0">
                <a:solidFill>
                  <a:srgbClr val="000000"/>
                </a:solidFill>
                <a:latin typeface="Calibri"/>
                <a:ea typeface="Calibri"/>
                <a:cs typeface="Calibri"/>
              </a:defRPr>
            </a:pPr>
            <a:endParaRPr lang="es-CL"/>
          </a:p>
        </c:txPr>
        <c:crossAx val="199942912"/>
        <c:crosses val="autoZero"/>
        <c:auto val="1"/>
        <c:lblAlgn val="ctr"/>
        <c:lblOffset val="100"/>
        <c:noMultiLvlLbl val="0"/>
      </c:catAx>
      <c:valAx>
        <c:axId val="199942912"/>
        <c:scaling>
          <c:orientation val="minMax"/>
        </c:scaling>
        <c:delete val="1"/>
        <c:axPos val="l"/>
        <c:majorGridlines/>
        <c:numFmt formatCode="General" sourceLinked="1"/>
        <c:majorTickMark val="out"/>
        <c:minorTickMark val="none"/>
        <c:tickLblPos val="nextTo"/>
        <c:crossAx val="199941120"/>
        <c:crosses val="autoZero"/>
        <c:crossBetween val="between"/>
      </c:valAx>
    </c:plotArea>
    <c:plotVisOnly val="1"/>
    <c:dispBlanksAs val="gap"/>
    <c:showDLblsOverMax val="0"/>
  </c:chart>
  <c:txPr>
    <a:bodyPr/>
    <a:lstStyle/>
    <a:p>
      <a:pPr>
        <a:defRPr sz="1002" b="0" i="0" u="none" strike="noStrike" baseline="0">
          <a:solidFill>
            <a:srgbClr val="000000"/>
          </a:solidFill>
          <a:latin typeface="Calibri"/>
          <a:ea typeface="Calibri"/>
          <a:cs typeface="Calibri"/>
        </a:defRPr>
      </a:pPr>
      <a:endParaRPr lang="es-CL"/>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txPr>
              <a:bodyPr/>
              <a:lstStyle/>
              <a:p>
                <a:pPr>
                  <a:defRPr sz="999" b="0" i="0" u="none" strike="noStrike" baseline="0">
                    <a:solidFill>
                      <a:srgbClr val="000000"/>
                    </a:solidFill>
                    <a:latin typeface="Calibri"/>
                    <a:ea typeface="Calibri"/>
                    <a:cs typeface="Calibri"/>
                  </a:defRPr>
                </a:pPr>
                <a:endParaRPr lang="es-CL"/>
              </a:p>
            </c:txPr>
            <c:dLblPos val="inEnd"/>
            <c:showLegendKey val="0"/>
            <c:showVal val="1"/>
            <c:showCatName val="0"/>
            <c:showSerName val="0"/>
            <c:showPercent val="0"/>
            <c:showBubbleSize val="0"/>
            <c:showLeaderLines val="0"/>
          </c:dLbls>
          <c:cat>
            <c:strRef>
              <c:f>'Pregunta 7'!$A$42:$A$43</c:f>
              <c:strCache>
                <c:ptCount val="2"/>
                <c:pt idx="0">
                  <c:v>Prodesal</c:v>
                </c:pt>
                <c:pt idx="1">
                  <c:v>Asesoría Téc. Agricultores</c:v>
                </c:pt>
              </c:strCache>
            </c:strRef>
          </c:cat>
          <c:val>
            <c:numRef>
              <c:f>'Pregunta 7'!$B$42:$B$43</c:f>
              <c:numCache>
                <c:formatCode>General</c:formatCode>
                <c:ptCount val="2"/>
                <c:pt idx="0">
                  <c:v>5</c:v>
                </c:pt>
                <c:pt idx="1">
                  <c:v>4</c:v>
                </c:pt>
              </c:numCache>
            </c:numRef>
          </c:val>
        </c:ser>
        <c:dLbls>
          <c:showLegendKey val="0"/>
          <c:showVal val="0"/>
          <c:showCatName val="0"/>
          <c:showSerName val="0"/>
          <c:showPercent val="0"/>
          <c:showBubbleSize val="0"/>
        </c:dLbls>
        <c:gapWidth val="75"/>
        <c:overlap val="40"/>
        <c:axId val="213017344"/>
        <c:axId val="213018880"/>
      </c:barChart>
      <c:catAx>
        <c:axId val="213017344"/>
        <c:scaling>
          <c:orientation val="minMax"/>
        </c:scaling>
        <c:delete val="0"/>
        <c:axPos val="b"/>
        <c:numFmt formatCode="General" sourceLinked="1"/>
        <c:majorTickMark val="none"/>
        <c:minorTickMark val="none"/>
        <c:tickLblPos val="nextTo"/>
        <c:txPr>
          <a:bodyPr rot="0" vert="horz"/>
          <a:lstStyle/>
          <a:p>
            <a:pPr>
              <a:defRPr sz="999" b="0" i="0" u="none" strike="noStrike" baseline="0">
                <a:solidFill>
                  <a:srgbClr val="000000"/>
                </a:solidFill>
                <a:latin typeface="Calibri"/>
                <a:ea typeface="Calibri"/>
                <a:cs typeface="Calibri"/>
              </a:defRPr>
            </a:pPr>
            <a:endParaRPr lang="es-CL"/>
          </a:p>
        </c:txPr>
        <c:crossAx val="213018880"/>
        <c:crosses val="autoZero"/>
        <c:auto val="1"/>
        <c:lblAlgn val="ctr"/>
        <c:lblOffset val="100"/>
        <c:noMultiLvlLbl val="0"/>
      </c:catAx>
      <c:valAx>
        <c:axId val="213018880"/>
        <c:scaling>
          <c:orientation val="minMax"/>
        </c:scaling>
        <c:delete val="1"/>
        <c:axPos val="l"/>
        <c:majorGridlines/>
        <c:numFmt formatCode="General" sourceLinked="1"/>
        <c:majorTickMark val="out"/>
        <c:minorTickMark val="none"/>
        <c:tickLblPos val="nextTo"/>
        <c:crossAx val="213017344"/>
        <c:crosses val="autoZero"/>
        <c:crossBetween val="between"/>
      </c:valAx>
    </c:plotArea>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es-CL"/>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Lbls>
            <c:txPr>
              <a:bodyPr/>
              <a:lstStyle/>
              <a:p>
                <a:pPr>
                  <a:defRPr sz="998" b="0" i="0" u="none" strike="noStrike" baseline="0">
                    <a:solidFill>
                      <a:srgbClr val="000000"/>
                    </a:solidFill>
                    <a:latin typeface="Calibri"/>
                    <a:ea typeface="Calibri"/>
                    <a:cs typeface="Calibri"/>
                  </a:defRPr>
                </a:pPr>
                <a:endParaRPr lang="es-CL"/>
              </a:p>
            </c:txPr>
            <c:dLblPos val="inEnd"/>
            <c:showLegendKey val="0"/>
            <c:showVal val="1"/>
            <c:showCatName val="0"/>
            <c:showSerName val="0"/>
            <c:showPercent val="0"/>
            <c:showBubbleSize val="0"/>
            <c:showLeaderLines val="0"/>
          </c:dLbls>
          <c:cat>
            <c:strRef>
              <c:f>'Pregunta 7'!$A$54:$A$55</c:f>
              <c:strCache>
                <c:ptCount val="2"/>
                <c:pt idx="0">
                  <c:v>Docente</c:v>
                </c:pt>
                <c:pt idx="1">
                  <c:v>Coor. Fundación Integra</c:v>
                </c:pt>
              </c:strCache>
            </c:strRef>
          </c:cat>
          <c:val>
            <c:numRef>
              <c:f>'Pregunta 7'!$B$54:$B$55</c:f>
              <c:numCache>
                <c:formatCode>General</c:formatCode>
                <c:ptCount val="2"/>
                <c:pt idx="0">
                  <c:v>7</c:v>
                </c:pt>
                <c:pt idx="1">
                  <c:v>1</c:v>
                </c:pt>
              </c:numCache>
            </c:numRef>
          </c:val>
        </c:ser>
        <c:dLbls>
          <c:showLegendKey val="0"/>
          <c:showVal val="0"/>
          <c:showCatName val="0"/>
          <c:showSerName val="0"/>
          <c:showPercent val="0"/>
          <c:showBubbleSize val="0"/>
        </c:dLbls>
        <c:gapWidth val="75"/>
        <c:overlap val="40"/>
        <c:axId val="198985600"/>
        <c:axId val="198987136"/>
      </c:barChart>
      <c:catAx>
        <c:axId val="198985600"/>
        <c:scaling>
          <c:orientation val="minMax"/>
        </c:scaling>
        <c:delete val="0"/>
        <c:axPos val="b"/>
        <c:numFmt formatCode="General" sourceLinked="1"/>
        <c:majorTickMark val="none"/>
        <c:minorTickMark val="none"/>
        <c:tickLblPos val="nextTo"/>
        <c:txPr>
          <a:bodyPr rot="0" vert="horz"/>
          <a:lstStyle/>
          <a:p>
            <a:pPr>
              <a:defRPr sz="998" b="0" i="0" u="none" strike="noStrike" baseline="0">
                <a:solidFill>
                  <a:srgbClr val="000000"/>
                </a:solidFill>
                <a:latin typeface="Calibri"/>
                <a:ea typeface="Calibri"/>
                <a:cs typeface="Calibri"/>
              </a:defRPr>
            </a:pPr>
            <a:endParaRPr lang="es-CL"/>
          </a:p>
        </c:txPr>
        <c:crossAx val="198987136"/>
        <c:crosses val="autoZero"/>
        <c:auto val="1"/>
        <c:lblAlgn val="ctr"/>
        <c:lblOffset val="100"/>
        <c:noMultiLvlLbl val="0"/>
      </c:catAx>
      <c:valAx>
        <c:axId val="198987136"/>
        <c:scaling>
          <c:orientation val="minMax"/>
        </c:scaling>
        <c:delete val="1"/>
        <c:axPos val="l"/>
        <c:majorGridlines/>
        <c:numFmt formatCode="General" sourceLinked="1"/>
        <c:majorTickMark val="out"/>
        <c:minorTickMark val="none"/>
        <c:tickLblPos val="nextTo"/>
        <c:crossAx val="198985600"/>
        <c:crosses val="autoZero"/>
        <c:crossBetween val="between"/>
      </c:valAx>
    </c:plotArea>
    <c:plotVisOnly val="1"/>
    <c:dispBlanksAs val="gap"/>
    <c:showDLblsOverMax val="0"/>
  </c:chart>
  <c:txPr>
    <a:bodyPr/>
    <a:lstStyle/>
    <a:p>
      <a:pPr>
        <a:defRPr sz="998" b="0" i="0" u="none" strike="noStrike" baseline="0">
          <a:solidFill>
            <a:srgbClr val="000000"/>
          </a:solidFill>
          <a:latin typeface="Calibri"/>
          <a:ea typeface="Calibri"/>
          <a:cs typeface="Calibri"/>
        </a:defRPr>
      </a:pPr>
      <a:endParaRPr lang="es-CL"/>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'[Datos Encuestas + grafico(1).xlsx]Año de titulación'!$K$6</c:f>
              <c:strCache>
                <c:ptCount val="1"/>
                <c:pt idx="0">
                  <c:v>Año Titulación</c:v>
                </c:pt>
              </c:strCache>
            </c:strRef>
          </c:tx>
          <c:invertIfNegative val="0"/>
          <c:dLbls>
            <c:showLegendKey val="0"/>
            <c:showVal val="1"/>
            <c:showCatName val="0"/>
            <c:showSerName val="0"/>
            <c:showPercent val="0"/>
            <c:showBubbleSize val="0"/>
            <c:showLeaderLines val="0"/>
          </c:dLbls>
          <c:cat>
            <c:strRef>
              <c:f>'[Datos Encuestas + grafico(1).xlsx]Año de titulación'!$C$1:$C$16</c:f>
              <c:strCache>
                <c:ptCount val="16"/>
                <c:pt idx="0">
                  <c:v>1991</c:v>
                </c:pt>
                <c:pt idx="1">
                  <c:v>1992</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strCache>
            </c:strRef>
          </c:cat>
          <c:val>
            <c:numRef>
              <c:f>'[Datos Encuestas + grafico(1).xlsx]Año de titulación'!$D$1:$D$16</c:f>
              <c:numCache>
                <c:formatCode>General</c:formatCode>
                <c:ptCount val="16"/>
                <c:pt idx="0">
                  <c:v>1</c:v>
                </c:pt>
                <c:pt idx="1">
                  <c:v>1</c:v>
                </c:pt>
                <c:pt idx="2">
                  <c:v>1</c:v>
                </c:pt>
                <c:pt idx="3">
                  <c:v>1</c:v>
                </c:pt>
                <c:pt idx="4">
                  <c:v>2</c:v>
                </c:pt>
                <c:pt idx="5">
                  <c:v>2</c:v>
                </c:pt>
                <c:pt idx="6">
                  <c:v>7</c:v>
                </c:pt>
                <c:pt idx="7">
                  <c:v>8</c:v>
                </c:pt>
                <c:pt idx="8">
                  <c:v>7</c:v>
                </c:pt>
                <c:pt idx="9">
                  <c:v>4</c:v>
                </c:pt>
                <c:pt idx="10">
                  <c:v>7</c:v>
                </c:pt>
                <c:pt idx="11">
                  <c:v>12</c:v>
                </c:pt>
                <c:pt idx="12">
                  <c:v>13</c:v>
                </c:pt>
                <c:pt idx="13">
                  <c:v>13</c:v>
                </c:pt>
                <c:pt idx="14">
                  <c:v>9</c:v>
                </c:pt>
                <c:pt idx="15">
                  <c:v>2</c:v>
                </c:pt>
              </c:numCache>
            </c:numRef>
          </c:val>
        </c:ser>
        <c:dLbls>
          <c:showLegendKey val="0"/>
          <c:showVal val="0"/>
          <c:showCatName val="0"/>
          <c:showSerName val="0"/>
          <c:showPercent val="0"/>
          <c:showBubbleSize val="0"/>
        </c:dLbls>
        <c:gapWidth val="150"/>
        <c:axId val="198880640"/>
        <c:axId val="198882432"/>
      </c:barChart>
      <c:catAx>
        <c:axId val="198880640"/>
        <c:scaling>
          <c:orientation val="minMax"/>
        </c:scaling>
        <c:delete val="0"/>
        <c:axPos val="b"/>
        <c:majorTickMark val="none"/>
        <c:minorTickMark val="none"/>
        <c:tickLblPos val="nextTo"/>
        <c:txPr>
          <a:bodyPr rot="-5400000" vert="horz"/>
          <a:lstStyle/>
          <a:p>
            <a:pPr>
              <a:defRPr/>
            </a:pPr>
            <a:endParaRPr lang="es-CL"/>
          </a:p>
        </c:txPr>
        <c:crossAx val="198882432"/>
        <c:crosses val="autoZero"/>
        <c:auto val="1"/>
        <c:lblAlgn val="ctr"/>
        <c:lblOffset val="100"/>
        <c:noMultiLvlLbl val="0"/>
      </c:catAx>
      <c:valAx>
        <c:axId val="198882432"/>
        <c:scaling>
          <c:orientation val="minMax"/>
        </c:scaling>
        <c:delete val="0"/>
        <c:axPos val="l"/>
        <c:majorGridlines/>
        <c:title>
          <c:tx>
            <c:rich>
              <a:bodyPr/>
              <a:lstStyle/>
              <a:p>
                <a:pPr>
                  <a:defRPr/>
                </a:pPr>
                <a:r>
                  <a:rPr lang="es-CL" b="0"/>
                  <a:t>Número de casos</a:t>
                </a:r>
              </a:p>
            </c:rich>
          </c:tx>
          <c:overlay val="0"/>
        </c:title>
        <c:numFmt formatCode="General" sourceLinked="1"/>
        <c:majorTickMark val="none"/>
        <c:minorTickMark val="none"/>
        <c:tickLblPos val="nextTo"/>
        <c:crossAx val="198880640"/>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'Años en el Municipio'!$K$6</c:f>
              <c:strCache>
                <c:ptCount val="1"/>
                <c:pt idx="0">
                  <c:v>Años en el Municipio</c:v>
                </c:pt>
              </c:strCache>
            </c:strRef>
          </c:tx>
          <c:invertIfNegative val="0"/>
          <c:dLbls>
            <c:showLegendKey val="0"/>
            <c:showVal val="1"/>
            <c:showCatName val="0"/>
            <c:showSerName val="0"/>
            <c:showPercent val="0"/>
            <c:showBubbleSize val="0"/>
            <c:showLeaderLines val="0"/>
          </c:dLbls>
          <c:cat>
            <c:strRef>
              <c:f>'Años en el Municipio'!$C$1:$C$15</c:f>
              <c:strCache>
                <c:ptCount val="15"/>
                <c:pt idx="0">
                  <c:v>1 Año</c:v>
                </c:pt>
                <c:pt idx="1">
                  <c:v>2 Años</c:v>
                </c:pt>
                <c:pt idx="2">
                  <c:v>3 Años</c:v>
                </c:pt>
                <c:pt idx="3">
                  <c:v>4 Años</c:v>
                </c:pt>
                <c:pt idx="4">
                  <c:v>5 Años </c:v>
                </c:pt>
                <c:pt idx="5">
                  <c:v>6 Años</c:v>
                </c:pt>
                <c:pt idx="6">
                  <c:v>7 Años</c:v>
                </c:pt>
                <c:pt idx="7">
                  <c:v>8 Años</c:v>
                </c:pt>
                <c:pt idx="8">
                  <c:v>9 Años</c:v>
                </c:pt>
                <c:pt idx="9">
                  <c:v>10 Años</c:v>
                </c:pt>
                <c:pt idx="10">
                  <c:v>11 Años</c:v>
                </c:pt>
                <c:pt idx="11">
                  <c:v>14 Años</c:v>
                </c:pt>
                <c:pt idx="12">
                  <c:v>16 Años</c:v>
                </c:pt>
                <c:pt idx="13">
                  <c:v>19 Años</c:v>
                </c:pt>
                <c:pt idx="14">
                  <c:v>21 Años</c:v>
                </c:pt>
              </c:strCache>
            </c:strRef>
          </c:cat>
          <c:val>
            <c:numRef>
              <c:f>'Años en el Municipio'!$D$1:$D$15</c:f>
              <c:numCache>
                <c:formatCode>General</c:formatCode>
                <c:ptCount val="15"/>
                <c:pt idx="0">
                  <c:v>4</c:v>
                </c:pt>
                <c:pt idx="1">
                  <c:v>17</c:v>
                </c:pt>
                <c:pt idx="2">
                  <c:v>18</c:v>
                </c:pt>
                <c:pt idx="3">
                  <c:v>14</c:v>
                </c:pt>
                <c:pt idx="4">
                  <c:v>11</c:v>
                </c:pt>
                <c:pt idx="5">
                  <c:v>4</c:v>
                </c:pt>
                <c:pt idx="6">
                  <c:v>7</c:v>
                </c:pt>
                <c:pt idx="7">
                  <c:v>3</c:v>
                </c:pt>
                <c:pt idx="8">
                  <c:v>4</c:v>
                </c:pt>
                <c:pt idx="9">
                  <c:v>2</c:v>
                </c:pt>
                <c:pt idx="10">
                  <c:v>2</c:v>
                </c:pt>
                <c:pt idx="11">
                  <c:v>1</c:v>
                </c:pt>
                <c:pt idx="12">
                  <c:v>1</c:v>
                </c:pt>
                <c:pt idx="13">
                  <c:v>1</c:v>
                </c:pt>
                <c:pt idx="14">
                  <c:v>1</c:v>
                </c:pt>
              </c:numCache>
            </c:numRef>
          </c:val>
        </c:ser>
        <c:dLbls>
          <c:showLegendKey val="0"/>
          <c:showVal val="0"/>
          <c:showCatName val="0"/>
          <c:showSerName val="0"/>
          <c:showPercent val="0"/>
          <c:showBubbleSize val="0"/>
        </c:dLbls>
        <c:gapWidth val="150"/>
        <c:axId val="198865664"/>
        <c:axId val="198867200"/>
      </c:barChart>
      <c:catAx>
        <c:axId val="198865664"/>
        <c:scaling>
          <c:orientation val="minMax"/>
        </c:scaling>
        <c:delete val="0"/>
        <c:axPos val="b"/>
        <c:numFmt formatCode="General" sourceLinked="1"/>
        <c:majorTickMark val="none"/>
        <c:minorTickMark val="none"/>
        <c:tickLblPos val="nextTo"/>
        <c:txPr>
          <a:bodyPr rot="-5400000" vert="horz"/>
          <a:lstStyle/>
          <a:p>
            <a:pPr>
              <a:defRPr/>
            </a:pPr>
            <a:endParaRPr lang="es-CL"/>
          </a:p>
        </c:txPr>
        <c:crossAx val="198867200"/>
        <c:crosses val="autoZero"/>
        <c:auto val="1"/>
        <c:lblAlgn val="ctr"/>
        <c:lblOffset val="100"/>
        <c:noMultiLvlLbl val="0"/>
      </c:catAx>
      <c:valAx>
        <c:axId val="198867200"/>
        <c:scaling>
          <c:orientation val="minMax"/>
        </c:scaling>
        <c:delete val="0"/>
        <c:axPos val="l"/>
        <c:majorGridlines/>
        <c:title>
          <c:tx>
            <c:rich>
              <a:bodyPr/>
              <a:lstStyle/>
              <a:p>
                <a:pPr>
                  <a:defRPr/>
                </a:pPr>
                <a:r>
                  <a:rPr lang="es-CL" b="0"/>
                  <a:t>Número de casos</a:t>
                </a:r>
              </a:p>
            </c:rich>
          </c:tx>
          <c:overlay val="0"/>
        </c:title>
        <c:numFmt formatCode="General" sourceLinked="1"/>
        <c:majorTickMark val="none"/>
        <c:minorTickMark val="none"/>
        <c:tickLblPos val="nextTo"/>
        <c:crossAx val="198865664"/>
        <c:crosses val="autoZero"/>
        <c:crossBetween val="between"/>
      </c:valAx>
    </c:plotArea>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invertIfNegative val="0"/>
          <c:dLbls>
            <c:showLegendKey val="0"/>
            <c:showVal val="1"/>
            <c:showCatName val="0"/>
            <c:showSerName val="0"/>
            <c:showPercent val="0"/>
            <c:showBubbleSize val="0"/>
            <c:showLeaderLines val="0"/>
          </c:dLbls>
          <c:cat>
            <c:strRef>
              <c:f>'Pregunta 8'!$B$3:$B$7</c:f>
              <c:strCache>
                <c:ptCount val="5"/>
                <c:pt idx="0">
                  <c:v>Compromiso Social</c:v>
                </c:pt>
                <c:pt idx="1">
                  <c:v>Comuna que reside</c:v>
                </c:pt>
                <c:pt idx="2">
                  <c:v>Aporte para la Región</c:v>
                </c:pt>
                <c:pt idx="3">
                  <c:v>Desarrollo profesional</c:v>
                </c:pt>
                <c:pt idx="4">
                  <c:v>Omisión</c:v>
                </c:pt>
              </c:strCache>
            </c:strRef>
          </c:cat>
          <c:val>
            <c:numRef>
              <c:f>'Pregunta 8'!$C$3:$C$7</c:f>
              <c:numCache>
                <c:formatCode>General</c:formatCode>
                <c:ptCount val="5"/>
                <c:pt idx="0">
                  <c:v>37</c:v>
                </c:pt>
                <c:pt idx="1">
                  <c:v>22</c:v>
                </c:pt>
                <c:pt idx="2">
                  <c:v>16</c:v>
                </c:pt>
                <c:pt idx="3">
                  <c:v>14</c:v>
                </c:pt>
                <c:pt idx="4">
                  <c:v>1</c:v>
                </c:pt>
              </c:numCache>
            </c:numRef>
          </c:val>
        </c:ser>
        <c:dLbls>
          <c:showLegendKey val="0"/>
          <c:showVal val="0"/>
          <c:showCatName val="0"/>
          <c:showSerName val="0"/>
          <c:showPercent val="0"/>
          <c:showBubbleSize val="0"/>
        </c:dLbls>
        <c:gapWidth val="150"/>
        <c:axId val="199166208"/>
        <c:axId val="199184384"/>
      </c:barChart>
      <c:catAx>
        <c:axId val="199166208"/>
        <c:scaling>
          <c:orientation val="minMax"/>
        </c:scaling>
        <c:delete val="0"/>
        <c:axPos val="b"/>
        <c:numFmt formatCode="General" sourceLinked="1"/>
        <c:majorTickMark val="none"/>
        <c:minorTickMark val="none"/>
        <c:tickLblPos val="nextTo"/>
        <c:crossAx val="199184384"/>
        <c:crosses val="autoZero"/>
        <c:auto val="1"/>
        <c:lblAlgn val="ctr"/>
        <c:lblOffset val="100"/>
        <c:noMultiLvlLbl val="0"/>
      </c:catAx>
      <c:valAx>
        <c:axId val="199184384"/>
        <c:scaling>
          <c:orientation val="minMax"/>
        </c:scaling>
        <c:delete val="0"/>
        <c:axPos val="l"/>
        <c:majorGridlines/>
        <c:title>
          <c:tx>
            <c:rich>
              <a:bodyPr/>
              <a:lstStyle/>
              <a:p>
                <a:pPr>
                  <a:defRPr/>
                </a:pPr>
                <a:r>
                  <a:rPr lang="es-CL" b="0"/>
                  <a:t>Número de casos</a:t>
                </a:r>
              </a:p>
            </c:rich>
          </c:tx>
          <c:overlay val="0"/>
        </c:title>
        <c:numFmt formatCode="General" sourceLinked="1"/>
        <c:majorTickMark val="none"/>
        <c:minorTickMark val="none"/>
        <c:tickLblPos val="nextTo"/>
        <c:crossAx val="199166208"/>
        <c:crosses val="autoZero"/>
        <c:crossBetween val="between"/>
      </c:valAx>
    </c:plotArea>
    <c:plotVisOnly val="1"/>
    <c:dispBlanksAs val="gap"/>
    <c:showDLblsOverMax val="0"/>
  </c:chart>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328C12-C13F-4892-BB1E-A2D8A1AFC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46</Pages>
  <Words>16062</Words>
  <Characters>88346</Characters>
  <Application>Microsoft Office Word</Application>
  <DocSecurity>0</DocSecurity>
  <Lines>736</Lines>
  <Paragraphs>208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104200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SUBDERE</dc:creator>
  <cp:keywords/>
  <dc:description/>
  <cp:lastModifiedBy>Usuario SUBDERE</cp:lastModifiedBy>
  <cp:revision>6</cp:revision>
  <cp:lastPrinted>2012-11-16T18:42:00Z</cp:lastPrinted>
  <dcterms:created xsi:type="dcterms:W3CDTF">2012-11-26T15:15:00Z</dcterms:created>
  <dcterms:modified xsi:type="dcterms:W3CDTF">2012-11-28T14:50:00Z</dcterms:modified>
</cp:coreProperties>
</file>