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page" w:tblpX="879" w:tblpY="2"/>
        <w:tblW w:w="162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568"/>
        <w:gridCol w:w="1350"/>
        <w:gridCol w:w="3070"/>
        <w:gridCol w:w="13"/>
        <w:gridCol w:w="1604"/>
        <w:gridCol w:w="15"/>
        <w:gridCol w:w="1619"/>
        <w:gridCol w:w="908"/>
        <w:gridCol w:w="1254"/>
        <w:gridCol w:w="9"/>
        <w:gridCol w:w="1080"/>
        <w:gridCol w:w="1973"/>
        <w:gridCol w:w="1807"/>
      </w:tblGrid>
      <w:tr w:rsidR="007F0CDC" w:rsidRPr="00225A33" w:rsidTr="009827A7">
        <w:trPr>
          <w:trHeight w:val="335"/>
        </w:trPr>
        <w:tc>
          <w:tcPr>
            <w:tcW w:w="1627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</w:tcPr>
          <w:p w:rsidR="007F0CDC" w:rsidRPr="00CE5530" w:rsidRDefault="007F0CDC" w:rsidP="007F0CDC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noProof/>
                <w:color w:val="000000"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7" type="#_x0000_t202" style="position:absolute;left:0;text-align:left;margin-left:102.5pt;margin-top:-55.1pt;width:612pt;height:27pt;z-index:251657728">
                  <v:textbox style="mso-next-textbox:#_x0000_s1037">
                    <w:txbxContent>
                      <w:p w:rsidR="007F0CDC" w:rsidRPr="00C63857" w:rsidRDefault="007F0CDC" w:rsidP="007F0CDC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8"/>
                            <w:szCs w:val="28"/>
                          </w:rPr>
                        </w:pPr>
                        <w:r w:rsidRPr="00C63857">
                          <w:rPr>
                            <w:rFonts w:ascii="Arial Narrow" w:hAnsi="Arial Narrow"/>
                            <w:b/>
                            <w:sz w:val="28"/>
                            <w:szCs w:val="28"/>
                          </w:rPr>
                          <w:t>MARCO METODOLÓGICO ESTUDIO “Articulación y actores para la descentralización “.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I. Dimensión Institucional </w:t>
            </w:r>
          </w:p>
        </w:tc>
      </w:tr>
      <w:tr w:rsidR="007F0CDC" w:rsidRPr="00225A33" w:rsidTr="009827A7">
        <w:trPr>
          <w:trHeight w:val="1054"/>
        </w:trPr>
        <w:tc>
          <w:tcPr>
            <w:tcW w:w="1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00"/>
          </w:tcPr>
          <w:p w:rsidR="007F0CDC" w:rsidRPr="00CE5530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Dimensiones analíticas 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00"/>
          </w:tcPr>
          <w:p w:rsidR="007F0CDC" w:rsidRPr="00CE5530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Variables</w:t>
            </w:r>
          </w:p>
        </w:tc>
        <w:tc>
          <w:tcPr>
            <w:tcW w:w="3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00"/>
          </w:tcPr>
          <w:p w:rsidR="007F0CDC" w:rsidRPr="00CE5530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Indicadores priorizados</w:t>
            </w:r>
          </w:p>
        </w:tc>
        <w:tc>
          <w:tcPr>
            <w:tcW w:w="16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00"/>
          </w:tcPr>
          <w:p w:rsidR="007F0CDC" w:rsidRPr="00CE5530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Técnicas de Investigación y Fuentes de Información</w:t>
            </w:r>
          </w:p>
        </w:tc>
        <w:tc>
          <w:tcPr>
            <w:tcW w:w="16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00"/>
          </w:tcPr>
          <w:p w:rsidR="007F0CDC" w:rsidRPr="00CE5530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Tipo de análisis </w:t>
            </w:r>
          </w:p>
        </w:tc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00"/>
          </w:tcPr>
          <w:p w:rsidR="007F0CDC" w:rsidRPr="00CE5530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Nivel 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00"/>
          </w:tcPr>
          <w:p w:rsidR="007F0CDC" w:rsidRPr="00CE5530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Responsable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00"/>
          </w:tcPr>
          <w:p w:rsidR="007F0CDC" w:rsidRPr="00CE5530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Producto</w:t>
            </w:r>
          </w:p>
        </w:tc>
        <w:tc>
          <w:tcPr>
            <w:tcW w:w="1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00"/>
          </w:tcPr>
          <w:p w:rsidR="007F0CDC" w:rsidRPr="00CE5530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Recomendaciones a Investigadores </w:t>
            </w:r>
          </w:p>
        </w:tc>
        <w:tc>
          <w:tcPr>
            <w:tcW w:w="18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CC00"/>
          </w:tcPr>
          <w:p w:rsidR="007F0CDC" w:rsidRPr="00CE5530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Tarea para los investigadores </w:t>
            </w:r>
          </w:p>
        </w:tc>
      </w:tr>
      <w:tr w:rsidR="007F0CDC" w:rsidRPr="00225A33" w:rsidTr="009827A7">
        <w:trPr>
          <w:trHeight w:val="2014"/>
        </w:trPr>
        <w:tc>
          <w:tcPr>
            <w:tcW w:w="1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0CDC" w:rsidRPr="00225A33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1.</w:t>
            </w:r>
            <w:r w:rsidRPr="00225A33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 Constitución de actores gubernamentales para la descentralización  </w:t>
            </w:r>
          </w:p>
        </w:tc>
        <w:tc>
          <w:tcPr>
            <w:tcW w:w="13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A00935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1.1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</w:t>
            </w:r>
            <w:r w:rsidRPr="00A00935">
              <w:rPr>
                <w:rFonts w:ascii="Arial Narrow" w:hAnsi="Arial Narrow" w:cs="Arial"/>
                <w:color w:val="000000"/>
                <w:sz w:val="20"/>
                <w:szCs w:val="20"/>
              </w:rPr>
              <w:t>Autonomía, coherencia y complejidad de las competencias subnacionales y de su financiamiento</w:t>
            </w:r>
          </w:p>
        </w:tc>
        <w:tc>
          <w:tcPr>
            <w:tcW w:w="3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A00935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1.1.1  </w:t>
            </w:r>
            <w:r w:rsidRPr="00A00935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Evolución de la complejidad de las competencias subnacionales: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</w:t>
            </w:r>
            <w:r w:rsidRPr="00A00935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- Competencias de definición de políticas                                                                     - Competencias de implementación                                      - Competencias de  evaluación de las políticas 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   </w:t>
            </w:r>
            <w:r w:rsidRPr="00A00935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El análisis está referido a tres tipos de políticas :                                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</w:t>
            </w:r>
            <w:r w:rsidRPr="00A00935">
              <w:rPr>
                <w:rFonts w:ascii="Arial Narrow" w:hAnsi="Arial Narrow" w:cs="Arial"/>
                <w:color w:val="000000"/>
                <w:sz w:val="20"/>
                <w:szCs w:val="20"/>
              </w:rPr>
              <w:t>- Políticas y servicios sociales                                     - Políticas económicas                                                    - Políticas de desarrollo</w:t>
            </w:r>
          </w:p>
        </w:tc>
        <w:tc>
          <w:tcPr>
            <w:tcW w:w="16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Análisis de normativas </w:t>
            </w:r>
          </w:p>
        </w:tc>
        <w:tc>
          <w:tcPr>
            <w:tcW w:w="16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Por medio de un cuadro ex post del cruce de la competencia y financiamiento </w:t>
            </w:r>
          </w:p>
        </w:tc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Nacional 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Equipo Central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2 y 5</w:t>
            </w:r>
          </w:p>
        </w:tc>
        <w:tc>
          <w:tcPr>
            <w:tcW w:w="1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Revisar las normativas y competencias (textos de referencia Serrano y Leyton). </w:t>
            </w:r>
          </w:p>
        </w:tc>
      </w:tr>
      <w:tr w:rsidR="007F0CDC" w:rsidRPr="00225A33" w:rsidTr="009827A7">
        <w:trPr>
          <w:trHeight w:val="803"/>
        </w:trPr>
        <w:tc>
          <w:tcPr>
            <w:tcW w:w="1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0CDC" w:rsidRPr="00225A33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3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0CDC" w:rsidRPr="00A00935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1.1.2. </w:t>
            </w:r>
            <w:r w:rsidRPr="00A00935">
              <w:rPr>
                <w:rFonts w:ascii="Arial Narrow" w:hAnsi="Arial Narrow" w:cs="Arial"/>
                <w:color w:val="000000"/>
                <w:sz w:val="20"/>
                <w:szCs w:val="20"/>
              </w:rPr>
              <w:t>Coherencia entre las competencias y la autonomía para su financiamiento (competencias reales)</w:t>
            </w:r>
          </w:p>
        </w:tc>
        <w:tc>
          <w:tcPr>
            <w:tcW w:w="16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- Análisis de la normativa</w:t>
            </w:r>
          </w:p>
        </w:tc>
        <w:tc>
          <w:tcPr>
            <w:tcW w:w="16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- Mayor o menos grado de coherencia</w:t>
            </w:r>
          </w:p>
        </w:tc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Nacional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0CDC" w:rsidRPr="00D86A9A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D86A9A">
              <w:rPr>
                <w:rFonts w:ascii="Arial Narrow" w:hAnsi="Arial Narrow" w:cs="Arial"/>
                <w:color w:val="000000"/>
                <w:sz w:val="20"/>
                <w:szCs w:val="20"/>
              </w:rPr>
              <w:t>Equipo Central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0CDC" w:rsidRPr="00D86A9A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D86A9A">
              <w:rPr>
                <w:rFonts w:ascii="Arial Narrow" w:hAnsi="Arial Narrow" w:cs="Arial"/>
                <w:color w:val="000000"/>
                <w:sz w:val="20"/>
                <w:szCs w:val="20"/>
              </w:rPr>
              <w:t>2 y 5</w:t>
            </w:r>
          </w:p>
        </w:tc>
        <w:tc>
          <w:tcPr>
            <w:tcW w:w="1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0CDC" w:rsidRPr="00225A33" w:rsidRDefault="007F0CDC" w:rsidP="007F0CDC">
            <w:pPr>
              <w:ind w:left="11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Delimitar aspectos críticos en relación al proyecto y las fuentes disponibles                                   </w:t>
            </w:r>
            <w:r w:rsidRPr="00225A3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</w:t>
            </w:r>
          </w:p>
        </w:tc>
        <w:tc>
          <w:tcPr>
            <w:tcW w:w="1807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F0CDC" w:rsidRPr="00225A33" w:rsidRDefault="007F0CDC" w:rsidP="007F0C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A3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F0CDC" w:rsidRPr="00225A33" w:rsidTr="009827A7">
        <w:trPr>
          <w:trHeight w:val="802"/>
        </w:trPr>
        <w:tc>
          <w:tcPr>
            <w:tcW w:w="1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0CDC" w:rsidRPr="00225A33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3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3C7946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1.1.3  </w:t>
            </w:r>
            <w:r w:rsidRPr="003C7946">
              <w:rPr>
                <w:rFonts w:ascii="Arial Narrow" w:hAnsi="Arial Narrow" w:cs="Arial"/>
                <w:color w:val="000000"/>
                <w:sz w:val="20"/>
                <w:szCs w:val="20"/>
              </w:rPr>
              <w:t>Coherencia entre las competencias reales y su uso a nivel subnacional</w:t>
            </w:r>
          </w:p>
        </w:tc>
        <w:tc>
          <w:tcPr>
            <w:tcW w:w="16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3C7946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3C7946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Entrevistas en profundidad a funcionarios públicos                        </w:t>
            </w:r>
          </w:p>
        </w:tc>
        <w:tc>
          <w:tcPr>
            <w:tcW w:w="16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BB528D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BB528D">
              <w:rPr>
                <w:rFonts w:ascii="Arial Narrow" w:hAnsi="Arial Narrow" w:cs="Arial"/>
                <w:color w:val="000000"/>
                <w:sz w:val="20"/>
                <w:szCs w:val="20"/>
              </w:rPr>
              <w:t>Existentes y utilizadas</w:t>
            </w:r>
          </w:p>
          <w:p w:rsidR="007F0CDC" w:rsidRPr="00BB528D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BB528D">
              <w:rPr>
                <w:rFonts w:ascii="Arial Narrow" w:hAnsi="Arial Narrow" w:cs="Arial"/>
                <w:color w:val="000000"/>
                <w:sz w:val="20"/>
                <w:szCs w:val="20"/>
              </w:rPr>
              <w:t>Existentes y no utilizadas</w:t>
            </w:r>
          </w:p>
          <w:p w:rsidR="007F0CDC" w:rsidRPr="003C7946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BB528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Renegociadas o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BB528D">
              <w:rPr>
                <w:rFonts w:ascii="Arial Narrow" w:hAnsi="Arial Narrow" w:cs="Arial"/>
                <w:color w:val="000000"/>
                <w:sz w:val="20"/>
                <w:szCs w:val="20"/>
              </w:rPr>
              <w:t>“</w:t>
            </w:r>
            <w:r w:rsidRPr="00D86A9A">
              <w:rPr>
                <w:rFonts w:ascii="Arial Narrow" w:hAnsi="Arial Narrow" w:cs="Arial"/>
                <w:color w:val="000000"/>
                <w:sz w:val="20"/>
                <w:szCs w:val="20"/>
              </w:rPr>
              <w:t>adaptadas”</w:t>
            </w:r>
          </w:p>
        </w:tc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A00935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A00935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Regional 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D86A9A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D86A9A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Centros Regionales 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D86A9A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D86A9A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 y 5  </w:t>
            </w:r>
          </w:p>
        </w:tc>
        <w:tc>
          <w:tcPr>
            <w:tcW w:w="1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3C7946" w:rsidRDefault="007F0CDC" w:rsidP="007F0CDC">
            <w:pPr>
              <w:ind w:left="110"/>
              <w:rPr>
                <w:rFonts w:ascii="Arial Narrow" w:hAnsi="Arial Narrow" w:cs="Arial"/>
                <w:color w:val="000000"/>
                <w:sz w:val="20"/>
                <w:szCs w:val="20"/>
                <w:highlight w:val="yellow"/>
              </w:rPr>
            </w:pPr>
            <w:r w:rsidRPr="00B549E4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Una vez que se han definido las competencias reales (nominales + financiamiento autónomo), testear el uso efectivo en cada región 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bottom"/>
          </w:tcPr>
          <w:p w:rsidR="007F0CDC" w:rsidRPr="00225A33" w:rsidRDefault="007F0CDC" w:rsidP="007F0C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F0CDC" w:rsidRPr="00225A33" w:rsidTr="009827A7">
        <w:trPr>
          <w:trHeight w:val="1606"/>
        </w:trPr>
        <w:tc>
          <w:tcPr>
            <w:tcW w:w="1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0CDC" w:rsidRPr="00225A33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1.2 C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apacidad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es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de i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nnovación de la gestión pública subnacional</w:t>
            </w:r>
          </w:p>
        </w:tc>
        <w:tc>
          <w:tcPr>
            <w:tcW w:w="3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1.2.1. Formas de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articulación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del ámbito sectorial: nivel central / </w:t>
            </w:r>
            <w:proofErr w:type="spellStart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seremiás</w:t>
            </w:r>
            <w:proofErr w:type="spellEnd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/ servicios desconcentrados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1.2.2. Rango de autonomía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del intendente, conse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jo regional y gabinete regional, para la gestión político-administrativa subnacional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                                                                   </w:t>
            </w:r>
          </w:p>
        </w:tc>
        <w:tc>
          <w:tcPr>
            <w:tcW w:w="16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Documentación de la normativa general y entrevistas en profundidad                                                                        </w:t>
            </w:r>
          </w:p>
        </w:tc>
        <w:tc>
          <w:tcPr>
            <w:tcW w:w="16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Escalas autonomía - dependencia</w:t>
            </w:r>
          </w:p>
        </w:tc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Nacional 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Equipo Central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ind w:left="6" w:hanging="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A3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F0CDC" w:rsidRPr="00225A33" w:rsidRDefault="007F0CDC" w:rsidP="007F0C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A3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F0CDC" w:rsidTr="009827A7">
        <w:trPr>
          <w:trHeight w:val="877"/>
        </w:trPr>
        <w:tc>
          <w:tcPr>
            <w:tcW w:w="1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0CDC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0CDC" w:rsidRDefault="007F0CDC" w:rsidP="007F0CDC">
            <w:pPr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3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1.2.3 R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ango de autonomía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de gestión de los organismos subnacionales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para la concertación de acuerdos)</w:t>
            </w:r>
          </w:p>
        </w:tc>
        <w:tc>
          <w:tcPr>
            <w:tcW w:w="16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Entrevistas y documentación regional pertinente</w:t>
            </w:r>
          </w:p>
        </w:tc>
        <w:tc>
          <w:tcPr>
            <w:tcW w:w="16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-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Escalas de autonomía - dependencia</w:t>
            </w:r>
          </w:p>
        </w:tc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Regional 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Centros Regionales 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 y 7 </w:t>
            </w:r>
          </w:p>
        </w:tc>
        <w:tc>
          <w:tcPr>
            <w:tcW w:w="1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A3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:rsidR="007F0CDC" w:rsidRDefault="007F0CDC" w:rsidP="007F0C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F0CDC" w:rsidTr="009827A7">
        <w:trPr>
          <w:trHeight w:val="2673"/>
        </w:trPr>
        <w:tc>
          <w:tcPr>
            <w:tcW w:w="1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0CDC" w:rsidRPr="00225A33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2 'Articulaciones gubernamentales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2.1 Mecanismos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formales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de decisión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(conjunta  vs. bilaterales)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entre niveles de gobierno </w:t>
            </w:r>
          </w:p>
        </w:tc>
        <w:tc>
          <w:tcPr>
            <w:tcW w:w="3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2.1.1.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Espacios / Mecanismos formales de </w:t>
            </w:r>
            <w:proofErr w:type="spellStart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RIGs</w:t>
            </w:r>
            <w:proofErr w:type="spellEnd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verticales (entre nivel central y niveles subnacionales /entre  nivel regional y nivel municipal):</w:t>
            </w:r>
          </w:p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- conjuntos</w:t>
            </w:r>
          </w:p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- bilaterales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      2.1.2. Espacios / Mecanismos formales de </w:t>
            </w:r>
            <w:proofErr w:type="spellStart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RIGs</w:t>
            </w:r>
            <w:proofErr w:type="spellEnd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horizontales (entre organismos del mismo nivel):</w:t>
            </w:r>
          </w:p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- conjuntos</w:t>
            </w:r>
          </w:p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- bilaterales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     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               </w:t>
            </w:r>
          </w:p>
        </w:tc>
        <w:tc>
          <w:tcPr>
            <w:tcW w:w="16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- Análisis de normativa</w:t>
            </w:r>
          </w:p>
        </w:tc>
        <w:tc>
          <w:tcPr>
            <w:tcW w:w="16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- Bilaterales - conjuntas</w:t>
            </w:r>
          </w:p>
        </w:tc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Nacional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Equipo Central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2 y 7</w:t>
            </w:r>
          </w:p>
        </w:tc>
        <w:tc>
          <w:tcPr>
            <w:tcW w:w="1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F0CDC" w:rsidRDefault="007F0CDC" w:rsidP="007F0C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F0CDC" w:rsidTr="009827A7">
        <w:trPr>
          <w:trHeight w:val="1615"/>
        </w:trPr>
        <w:tc>
          <w:tcPr>
            <w:tcW w:w="1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0CDC" w:rsidRPr="00225A33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2.2 Lógica de las </w:t>
            </w:r>
            <w:proofErr w:type="spellStart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RIGs</w:t>
            </w:r>
            <w:proofErr w:type="spellEnd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en los espacios formales (negociación vs. imposición)</w:t>
            </w:r>
          </w:p>
        </w:tc>
        <w:tc>
          <w:tcPr>
            <w:tcW w:w="3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2.2.1.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Lógica de las </w:t>
            </w:r>
            <w:proofErr w:type="spellStart"/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RIGs</w:t>
            </w:r>
            <w:proofErr w:type="spellEnd"/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de tipo vertical </w:t>
            </w:r>
          </w:p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negociación </w:t>
            </w:r>
          </w:p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- imposición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          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Entrevistas y fuentes secundarias (documentales)</w:t>
            </w:r>
          </w:p>
        </w:tc>
        <w:tc>
          <w:tcPr>
            <w:tcW w:w="16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Negociación – imposición</w:t>
            </w:r>
          </w:p>
        </w:tc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Nacional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Equipo Central</w:t>
            </w:r>
          </w:p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Investigador asociado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6 y  7</w:t>
            </w:r>
          </w:p>
        </w:tc>
        <w:tc>
          <w:tcPr>
            <w:tcW w:w="1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A3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F0CDC" w:rsidRDefault="007F0CDC" w:rsidP="007F0C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F0CDC" w:rsidTr="009827A7">
        <w:trPr>
          <w:trHeight w:val="2280"/>
        </w:trPr>
        <w:tc>
          <w:tcPr>
            <w:tcW w:w="1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0CDC" w:rsidRPr="00225A33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F0CDC" w:rsidRPr="00467F43" w:rsidRDefault="007F0CDC" w:rsidP="007F0CDC">
            <w:pPr>
              <w:rPr>
                <w:rFonts w:ascii="Arial Narrow" w:hAnsi="Arial Narrow" w:cs="Arial"/>
                <w:sz w:val="20"/>
                <w:szCs w:val="20"/>
              </w:rPr>
            </w:pPr>
            <w:r w:rsidRPr="00467F43">
              <w:rPr>
                <w:rFonts w:ascii="Arial Narrow" w:hAnsi="Arial Narrow" w:cs="Arial"/>
                <w:sz w:val="20"/>
                <w:szCs w:val="20"/>
              </w:rPr>
              <w:t xml:space="preserve">2.3 Tipo de relaciones entre niveles para la toma de decisiones (Formal vs. Informal / Competencia vs. cooperación) </w:t>
            </w:r>
          </w:p>
        </w:tc>
        <w:tc>
          <w:tcPr>
            <w:tcW w:w="3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2.3.1. Espacios / Mecanismos formales e informales usados por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los gobiernos regionales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para incidir en la formulación de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políticas nacionales             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  2.3.2. Espacios / Mecanismos formales e informales usados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por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los gobiernos municipales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para influir en las decisiones del GORE / Gobierno central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                   </w:t>
            </w:r>
          </w:p>
        </w:tc>
        <w:tc>
          <w:tcPr>
            <w:tcW w:w="16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- Entrevistas en profundidad</w:t>
            </w:r>
          </w:p>
        </w:tc>
        <w:tc>
          <w:tcPr>
            <w:tcW w:w="16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-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Identificar los mecanismos informales para las </w:t>
            </w:r>
            <w:proofErr w:type="spellStart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RIGs</w:t>
            </w:r>
            <w:proofErr w:type="spellEnd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verticales </w:t>
            </w:r>
          </w:p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- Determinar el uso real de los espacios y mecanismos formales de articulación (</w:t>
            </w:r>
            <w:proofErr w:type="spellStart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RIGs</w:t>
            </w:r>
            <w:proofErr w:type="spellEnd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verticales)</w:t>
            </w:r>
          </w:p>
        </w:tc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Regional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Centros Regionales 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7 y 8 </w:t>
            </w:r>
          </w:p>
        </w:tc>
        <w:tc>
          <w:tcPr>
            <w:tcW w:w="1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A3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:rsidR="007F0CDC" w:rsidRDefault="007F0CDC" w:rsidP="007F0C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:rsidR="007F0CDC" w:rsidRDefault="007F0CDC" w:rsidP="007F0C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F0CDC" w:rsidRDefault="007F0CDC" w:rsidP="007F0C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F0CDC" w:rsidRDefault="007F0CDC" w:rsidP="007F0C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F0CDC" w:rsidRDefault="007F0CDC" w:rsidP="007F0C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F0CDC" w:rsidRDefault="007F0CDC" w:rsidP="007F0C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F0CDC" w:rsidTr="009827A7">
        <w:trPr>
          <w:trHeight w:val="876"/>
        </w:trPr>
        <w:tc>
          <w:tcPr>
            <w:tcW w:w="1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0CDC" w:rsidRPr="00225A33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225A33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Factores institucionales sobre actores sociales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3.1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Carácter y grados de inclusión y autonomía de </w:t>
            </w:r>
            <w:smartTag w:uri="urn:schemas-microsoft-com:office:smarttags" w:element="PersonName">
              <w:smartTagPr>
                <w:attr w:name="ProductID" w:val="la PC"/>
              </w:smartTagPr>
              <w:r>
                <w:rPr>
                  <w:rFonts w:ascii="Arial Narrow" w:hAnsi="Arial Narrow" w:cs="Arial"/>
                  <w:color w:val="000000"/>
                  <w:sz w:val="20"/>
                  <w:szCs w:val="20"/>
                </w:rPr>
                <w:t>la PC</w:t>
              </w:r>
            </w:smartTag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promovida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lastRenderedPageBreak/>
              <w:t>desde el Estado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central que afectan a los niveles subnacionales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lastRenderedPageBreak/>
              <w:t>3.1.1. E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spacios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y Mecanismos de participación social institutitos por el estado a nivel subnacional:                                         - Para que (objetivos)</w:t>
            </w:r>
          </w:p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Quienes (sujetos sociales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lastRenderedPageBreak/>
              <w:t>convocados, forma de selección(</w:t>
            </w:r>
          </w:p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- Como (instancias deliberativas, decisorias o informativas / periodicidad de las convocatorias / Iniciativa de las convocatorias / Recursos sobre los que se decide</w:t>
            </w:r>
          </w:p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Donde (inserción en la estructura política administrativa respectiva) </w:t>
            </w:r>
          </w:p>
        </w:tc>
        <w:tc>
          <w:tcPr>
            <w:tcW w:w="16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lastRenderedPageBreak/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Fuente: normativa jurídica respecto a la descentralización </w:t>
            </w:r>
          </w:p>
        </w:tc>
        <w:tc>
          <w:tcPr>
            <w:tcW w:w="16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- Escalas de inclusión – exclusión / autonomía social - dependencia</w:t>
            </w:r>
          </w:p>
        </w:tc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Nacional 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Equipo Central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A3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F0CDC" w:rsidRDefault="007F0CDC" w:rsidP="007F0C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F0CDC" w:rsidTr="009827A7">
        <w:trPr>
          <w:trHeight w:val="1112"/>
        </w:trPr>
        <w:tc>
          <w:tcPr>
            <w:tcW w:w="1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0CDC" w:rsidRPr="00225A33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3.2 Incidencia institucional en PC</w:t>
            </w:r>
          </w:p>
        </w:tc>
        <w:tc>
          <w:tcPr>
            <w:tcW w:w="30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3.2.1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Formas de participación creadas por ministerios y agencias estatales que involucra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n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actores regionales  (Número y tipos  de formas de participación). </w:t>
            </w:r>
          </w:p>
        </w:tc>
        <w:tc>
          <w:tcPr>
            <w:tcW w:w="16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Documentos </w:t>
            </w:r>
          </w:p>
        </w:tc>
        <w:tc>
          <w:tcPr>
            <w:tcW w:w="16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Identificación de instancias</w:t>
            </w:r>
          </w:p>
        </w:tc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Nacional</w:t>
            </w:r>
          </w:p>
        </w:tc>
        <w:tc>
          <w:tcPr>
            <w:tcW w:w="12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Equipo Central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y 2 </w:t>
            </w:r>
          </w:p>
        </w:tc>
        <w:tc>
          <w:tcPr>
            <w:tcW w:w="1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8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8000"/>
                <w:sz w:val="20"/>
                <w:szCs w:val="20"/>
              </w:rPr>
              <w:t xml:space="preserve">Institucionalidad determina la forma del actor; Concepción </w:t>
            </w:r>
            <w:proofErr w:type="spellStart"/>
            <w:r w:rsidRPr="00225A33">
              <w:rPr>
                <w:rFonts w:ascii="Arial Narrow" w:hAnsi="Arial Narrow" w:cs="Arial"/>
                <w:color w:val="008000"/>
                <w:sz w:val="20"/>
                <w:szCs w:val="20"/>
              </w:rPr>
              <w:t>especializadora</w:t>
            </w:r>
            <w:proofErr w:type="spellEnd"/>
            <w:r w:rsidRPr="00225A33">
              <w:rPr>
                <w:rFonts w:ascii="Arial Narrow" w:hAnsi="Arial Narrow" w:cs="Arial"/>
                <w:color w:val="008000"/>
                <w:sz w:val="20"/>
                <w:szCs w:val="20"/>
              </w:rPr>
              <w:t xml:space="preserve"> de la participación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F0CDC" w:rsidRDefault="007F0CDC" w:rsidP="007F0C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F0CDC" w:rsidRPr="002E2BFB" w:rsidTr="009827A7">
        <w:trPr>
          <w:trHeight w:val="1515"/>
        </w:trPr>
        <w:tc>
          <w:tcPr>
            <w:tcW w:w="1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0CDC" w:rsidRPr="00225A33" w:rsidRDefault="007F0CDC" w:rsidP="007F0CDC">
            <w:pPr>
              <w:shd w:val="clear" w:color="auto" w:fill="FFCC99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F0CDC" w:rsidRPr="00DB3556" w:rsidRDefault="007F0CDC" w:rsidP="007F0CDC">
            <w:pPr>
              <w:rPr>
                <w:rFonts w:ascii="Arial Narrow" w:hAnsi="Arial Narrow"/>
                <w:sz w:val="20"/>
                <w:szCs w:val="20"/>
              </w:rPr>
            </w:pPr>
            <w:r w:rsidRPr="00DB3556">
              <w:rPr>
                <w:rFonts w:ascii="Arial Narrow" w:hAnsi="Arial Narrow"/>
                <w:sz w:val="20"/>
                <w:szCs w:val="20"/>
              </w:rPr>
              <w:t xml:space="preserve">3.3Carácter y grados de inclusión y autonomía de </w:t>
            </w:r>
            <w:smartTag w:uri="urn:schemas-microsoft-com:office:smarttags" w:element="PersonName">
              <w:smartTagPr>
                <w:attr w:name="ProductID" w:val="la PC"/>
              </w:smartTagPr>
              <w:r w:rsidRPr="00DB3556">
                <w:rPr>
                  <w:rFonts w:ascii="Arial Narrow" w:hAnsi="Arial Narrow"/>
                  <w:sz w:val="20"/>
                  <w:szCs w:val="20"/>
                </w:rPr>
                <w:t>la PC</w:t>
              </w:r>
            </w:smartTag>
            <w:r w:rsidRPr="00DB3556">
              <w:rPr>
                <w:rFonts w:ascii="Arial Narrow" w:hAnsi="Arial Narrow"/>
                <w:sz w:val="20"/>
                <w:szCs w:val="20"/>
              </w:rPr>
              <w:t xml:space="preserve"> promovida por parte de  los ámbitos subnacionales y uso de los mecanismos instituidos por parte del gobierno central </w:t>
            </w:r>
          </w:p>
        </w:tc>
        <w:tc>
          <w:tcPr>
            <w:tcW w:w="30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DB3556" w:rsidRDefault="007F0CDC" w:rsidP="007F0CD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3.3.1. </w:t>
            </w:r>
            <w:r w:rsidRPr="00DB3556">
              <w:rPr>
                <w:rFonts w:ascii="Arial Narrow" w:hAnsi="Arial Narrow"/>
                <w:sz w:val="20"/>
                <w:szCs w:val="20"/>
              </w:rPr>
              <w:t xml:space="preserve"> Mecanismos específicos de PC insti</w:t>
            </w:r>
            <w:r>
              <w:rPr>
                <w:rFonts w:ascii="Arial Narrow" w:hAnsi="Arial Narrow"/>
                <w:sz w:val="20"/>
                <w:szCs w:val="20"/>
              </w:rPr>
              <w:t>tuidos en el ámbito regional  (i</w:t>
            </w:r>
            <w:r w:rsidRPr="00DB3556">
              <w:rPr>
                <w:rFonts w:ascii="Arial Narrow" w:hAnsi="Arial Narrow"/>
                <w:sz w:val="20"/>
                <w:szCs w:val="20"/>
              </w:rPr>
              <w:t>ntegrantes / formas de convocatoria de los mecanismos de PC)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DB3556">
              <w:rPr>
                <w:rFonts w:ascii="Arial Narrow" w:hAnsi="Arial Narrow"/>
                <w:sz w:val="20"/>
                <w:szCs w:val="20"/>
              </w:rPr>
              <w:t xml:space="preserve">                   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                      3.3.2. </w:t>
            </w:r>
            <w:r w:rsidRPr="00DB3556">
              <w:rPr>
                <w:rFonts w:ascii="Arial Narrow" w:hAnsi="Arial Narrow"/>
                <w:sz w:val="20"/>
                <w:szCs w:val="20"/>
              </w:rPr>
              <w:t xml:space="preserve"> Especialización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DB3556" w:rsidRDefault="007F0CDC" w:rsidP="007F0CD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Pr="00DB3556">
              <w:rPr>
                <w:rFonts w:ascii="Arial Narrow" w:hAnsi="Arial Narrow"/>
                <w:sz w:val="20"/>
                <w:szCs w:val="20"/>
              </w:rPr>
              <w:t>Ordenanzas municipales y otros</w:t>
            </w:r>
          </w:p>
        </w:tc>
        <w:tc>
          <w:tcPr>
            <w:tcW w:w="16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DB3556" w:rsidRDefault="007F0CDC" w:rsidP="007F0CD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Pr="00DB3556">
              <w:rPr>
                <w:rFonts w:ascii="Arial Narrow" w:hAnsi="Arial Narrow"/>
                <w:sz w:val="20"/>
                <w:szCs w:val="20"/>
              </w:rPr>
              <w:t>Determinar los mecanismos de PC creados a nivel subnacional</w:t>
            </w:r>
          </w:p>
          <w:p w:rsidR="007F0CDC" w:rsidRPr="00DB3556" w:rsidRDefault="007F0CDC" w:rsidP="007F0CD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- </w:t>
            </w:r>
            <w:r w:rsidRPr="00DB3556">
              <w:rPr>
                <w:rFonts w:ascii="Arial Narrow" w:hAnsi="Arial Narrow"/>
                <w:sz w:val="20"/>
                <w:szCs w:val="20"/>
              </w:rPr>
              <w:t xml:space="preserve">Identificar los mecanismos de PC del nivel central que son usados efectivamente </w:t>
            </w:r>
          </w:p>
        </w:tc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DB3556" w:rsidRDefault="007F0CDC" w:rsidP="007F0CDC">
            <w:pPr>
              <w:rPr>
                <w:rFonts w:ascii="Arial Narrow" w:hAnsi="Arial Narrow"/>
                <w:sz w:val="20"/>
                <w:szCs w:val="20"/>
              </w:rPr>
            </w:pPr>
            <w:r w:rsidRPr="00DB3556">
              <w:rPr>
                <w:rFonts w:ascii="Arial Narrow" w:hAnsi="Arial Narrow"/>
                <w:sz w:val="20"/>
                <w:szCs w:val="20"/>
              </w:rPr>
              <w:t xml:space="preserve">Regional </w:t>
            </w:r>
          </w:p>
        </w:tc>
        <w:tc>
          <w:tcPr>
            <w:tcW w:w="12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DB3556" w:rsidRDefault="007F0CDC" w:rsidP="007F0CDC">
            <w:pPr>
              <w:rPr>
                <w:rFonts w:ascii="Arial Narrow" w:hAnsi="Arial Narrow"/>
                <w:sz w:val="20"/>
                <w:szCs w:val="20"/>
              </w:rPr>
            </w:pPr>
            <w:r w:rsidRPr="00DB3556">
              <w:rPr>
                <w:rFonts w:ascii="Arial Narrow" w:hAnsi="Arial Narrow"/>
                <w:sz w:val="20"/>
                <w:szCs w:val="20"/>
              </w:rPr>
              <w:t xml:space="preserve">Centros Regionales 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DB3556" w:rsidRDefault="007F0CDC" w:rsidP="007F0CDC">
            <w:pPr>
              <w:rPr>
                <w:rFonts w:ascii="Arial Narrow" w:hAnsi="Arial Narrow"/>
                <w:sz w:val="20"/>
                <w:szCs w:val="20"/>
              </w:rPr>
            </w:pPr>
            <w:r w:rsidRPr="00DB3556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DB3556" w:rsidRDefault="007F0CDC" w:rsidP="007F0CDC">
            <w:pPr>
              <w:rPr>
                <w:rFonts w:ascii="Arial Narrow" w:hAnsi="Arial Narrow"/>
                <w:sz w:val="20"/>
                <w:szCs w:val="20"/>
              </w:rPr>
            </w:pPr>
            <w:r w:rsidRPr="00DB3556">
              <w:rPr>
                <w:rFonts w:ascii="Arial Narrow" w:hAnsi="Arial Narrow"/>
                <w:sz w:val="20"/>
                <w:szCs w:val="20"/>
              </w:rPr>
              <w:t xml:space="preserve">Considerar como actores a CESPRO, CORECYT y Agencias de Desarrollo, Ordenanza de participación; ley de base de medio ambiente (SEIA)             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:rsidR="007F0CDC" w:rsidRDefault="007F0CDC" w:rsidP="007F0C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F0CDC" w:rsidRPr="002E2BFB" w:rsidTr="009827A7">
        <w:trPr>
          <w:trHeight w:val="537"/>
        </w:trPr>
        <w:tc>
          <w:tcPr>
            <w:tcW w:w="1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0CDC" w:rsidRPr="00225A33" w:rsidRDefault="007F0CDC" w:rsidP="007F0CDC">
            <w:pPr>
              <w:shd w:val="clear" w:color="auto" w:fill="FFCC99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3.4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. Instancias de concertación relacionadas a políticas públicas</w:t>
            </w:r>
          </w:p>
        </w:tc>
        <w:tc>
          <w:tcPr>
            <w:tcW w:w="30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3.4.1.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Políticas que incluyen instancias de concertación a escala regional                         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   3.4.2.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Actores que participan, temas</w:t>
            </w:r>
          </w:p>
        </w:tc>
        <w:tc>
          <w:tcPr>
            <w:tcW w:w="16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Entrevistas a informantes calificados (sociales e inst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itucionales)               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Estudios sectoriales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Fuentes secundarias institucionales</w:t>
            </w:r>
          </w:p>
        </w:tc>
        <w:tc>
          <w:tcPr>
            <w:tcW w:w="16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Regional</w:t>
            </w:r>
          </w:p>
        </w:tc>
        <w:tc>
          <w:tcPr>
            <w:tcW w:w="12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Centros Regionales 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7 y 8</w:t>
            </w:r>
          </w:p>
        </w:tc>
        <w:tc>
          <w:tcPr>
            <w:tcW w:w="1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:rsidR="007F0CDC" w:rsidRPr="00225A33" w:rsidRDefault="007F0CDC" w:rsidP="007F0C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A3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:rsidR="007F0CDC" w:rsidRDefault="007F0CDC" w:rsidP="007F0C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F0CDC" w:rsidRPr="002E2BFB" w:rsidTr="009827A7">
        <w:trPr>
          <w:trHeight w:val="1515"/>
        </w:trPr>
        <w:tc>
          <w:tcPr>
            <w:tcW w:w="1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0CDC" w:rsidRPr="00225A33" w:rsidRDefault="007F0CDC" w:rsidP="007F0CDC">
            <w:pPr>
              <w:shd w:val="clear" w:color="auto" w:fill="FFCC99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3.5 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Instancias de concertación Regional </w:t>
            </w:r>
          </w:p>
        </w:tc>
        <w:tc>
          <w:tcPr>
            <w:tcW w:w="30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3.5.1.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3131DE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Participantes de las EDR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    3.5.2.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Objetivos de la instancia participativa             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3.5.3.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Convocatoria y metodología </w:t>
            </w:r>
          </w:p>
        </w:tc>
        <w:tc>
          <w:tcPr>
            <w:tcW w:w="16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Entrevistas a informantes calificados (sociales e inst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itucionales)               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Fuentes secundarias institucionales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</w:t>
            </w:r>
            <w:r w:rsidRPr="003131DE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- Experiencias de participación en EDR</w:t>
            </w:r>
          </w:p>
        </w:tc>
        <w:tc>
          <w:tcPr>
            <w:tcW w:w="16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Análisis cualitativo de instancias: alcance geográfico, tipo de participación ( Fernández y Ordóñez), duración en el tiempo</w:t>
            </w:r>
          </w:p>
        </w:tc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Regional</w:t>
            </w:r>
          </w:p>
        </w:tc>
        <w:tc>
          <w:tcPr>
            <w:tcW w:w="12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Centros Regionales 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7 y 8 </w:t>
            </w:r>
          </w:p>
        </w:tc>
        <w:tc>
          <w:tcPr>
            <w:tcW w:w="1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:rsidR="007F0CDC" w:rsidRPr="00225A33" w:rsidRDefault="007F0CDC" w:rsidP="007F0C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A3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:rsidR="007F0CDC" w:rsidRDefault="007F0CDC" w:rsidP="007F0C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C63857" w:rsidRDefault="00C63857" w:rsidP="00FF44EA">
      <w:pPr>
        <w:jc w:val="center"/>
        <w:rPr>
          <w:rFonts w:ascii="Arial Narrow" w:hAnsi="Arial Narrow" w:cs="Arial"/>
          <w:b/>
          <w:bCs/>
          <w:sz w:val="20"/>
          <w:szCs w:val="20"/>
        </w:rPr>
        <w:sectPr w:rsidR="00C63857" w:rsidSect="00B701DD">
          <w:pgSz w:w="18711" w:h="12242" w:orient="landscape" w:code="5"/>
          <w:pgMar w:top="1701" w:right="1418" w:bottom="1701" w:left="1246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horzAnchor="page" w:tblpX="879" w:tblpY="2"/>
        <w:tblW w:w="164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64"/>
        <w:gridCol w:w="1344"/>
        <w:gridCol w:w="2502"/>
        <w:gridCol w:w="3060"/>
        <w:gridCol w:w="1975"/>
        <w:gridCol w:w="824"/>
        <w:gridCol w:w="1161"/>
        <w:gridCol w:w="900"/>
        <w:gridCol w:w="2160"/>
        <w:gridCol w:w="1260"/>
      </w:tblGrid>
      <w:tr w:rsidR="00225A33" w:rsidTr="007F0CDC">
        <w:trPr>
          <w:trHeight w:val="495"/>
        </w:trPr>
        <w:tc>
          <w:tcPr>
            <w:tcW w:w="1645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225A33" w:rsidRPr="00225A33" w:rsidRDefault="007A72D6" w:rsidP="00225A33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lastRenderedPageBreak/>
              <w:t xml:space="preserve">II. </w:t>
            </w:r>
            <w:r w:rsidR="00225A33" w:rsidRPr="00225A3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.Dimensión Social </w:t>
            </w:r>
          </w:p>
        </w:tc>
      </w:tr>
      <w:tr w:rsidR="007F0CDC" w:rsidTr="00877FCC">
        <w:trPr>
          <w:trHeight w:val="730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CC00"/>
          </w:tcPr>
          <w:p w:rsidR="007F0CDC" w:rsidRPr="00CE5530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Dimensiones analíticas </w:t>
            </w:r>
          </w:p>
        </w:tc>
        <w:tc>
          <w:tcPr>
            <w:tcW w:w="1344" w:type="dxa"/>
            <w:tcBorders>
              <w:top w:val="nil"/>
              <w:bottom w:val="single" w:sz="4" w:space="0" w:color="auto"/>
            </w:tcBorders>
            <w:shd w:val="clear" w:color="auto" w:fill="FFCC00"/>
          </w:tcPr>
          <w:p w:rsidR="007F0CDC" w:rsidRPr="00CE5530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Variables</w:t>
            </w:r>
          </w:p>
        </w:tc>
        <w:tc>
          <w:tcPr>
            <w:tcW w:w="2502" w:type="dxa"/>
            <w:tcBorders>
              <w:top w:val="nil"/>
              <w:bottom w:val="single" w:sz="4" w:space="0" w:color="auto"/>
            </w:tcBorders>
            <w:shd w:val="clear" w:color="auto" w:fill="FFCC00"/>
          </w:tcPr>
          <w:p w:rsidR="007F0CDC" w:rsidRPr="00CE5530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Indicadores priorizados</w:t>
            </w:r>
          </w:p>
        </w:tc>
        <w:tc>
          <w:tcPr>
            <w:tcW w:w="3060" w:type="dxa"/>
            <w:tcBorders>
              <w:top w:val="nil"/>
              <w:bottom w:val="single" w:sz="4" w:space="0" w:color="auto"/>
            </w:tcBorders>
            <w:shd w:val="clear" w:color="auto" w:fill="FFCC00"/>
          </w:tcPr>
          <w:p w:rsidR="007F0CDC" w:rsidRPr="00CE5530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Técnicas de Investigación y Fuentes de Información</w:t>
            </w:r>
          </w:p>
        </w:tc>
        <w:tc>
          <w:tcPr>
            <w:tcW w:w="1975" w:type="dxa"/>
            <w:tcBorders>
              <w:top w:val="nil"/>
              <w:bottom w:val="single" w:sz="4" w:space="0" w:color="auto"/>
            </w:tcBorders>
            <w:shd w:val="clear" w:color="auto" w:fill="FFCC00"/>
          </w:tcPr>
          <w:p w:rsidR="007F0CDC" w:rsidRPr="00CE5530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Tipo de análisis </w:t>
            </w:r>
          </w:p>
        </w:tc>
        <w:tc>
          <w:tcPr>
            <w:tcW w:w="824" w:type="dxa"/>
            <w:tcBorders>
              <w:top w:val="nil"/>
              <w:bottom w:val="single" w:sz="4" w:space="0" w:color="auto"/>
            </w:tcBorders>
            <w:shd w:val="clear" w:color="auto" w:fill="FFCC00"/>
          </w:tcPr>
          <w:p w:rsidR="007F0CDC" w:rsidRPr="00CE5530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Nivel </w:t>
            </w:r>
          </w:p>
        </w:tc>
        <w:tc>
          <w:tcPr>
            <w:tcW w:w="1161" w:type="dxa"/>
            <w:tcBorders>
              <w:top w:val="nil"/>
              <w:bottom w:val="single" w:sz="4" w:space="0" w:color="auto"/>
            </w:tcBorders>
            <w:shd w:val="clear" w:color="auto" w:fill="FFCC00"/>
          </w:tcPr>
          <w:p w:rsidR="007F0CDC" w:rsidRPr="00CE5530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Responsable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shd w:val="clear" w:color="auto" w:fill="FFCC00"/>
          </w:tcPr>
          <w:p w:rsidR="007F0CDC" w:rsidRPr="00CE5530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Producto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FFCC00"/>
          </w:tcPr>
          <w:p w:rsidR="007F0CDC" w:rsidRPr="00CE5530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Recomendaciones a Investigadores 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7F0CDC" w:rsidRPr="00CE5530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Tarea para los investigadores </w:t>
            </w:r>
          </w:p>
        </w:tc>
      </w:tr>
      <w:tr w:rsidR="007F0CDC" w:rsidTr="00877FCC">
        <w:trPr>
          <w:trHeight w:val="3247"/>
        </w:trPr>
        <w:tc>
          <w:tcPr>
            <w:tcW w:w="126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4. </w:t>
            </w:r>
            <w:r w:rsidRPr="00225A33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Asociatividad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4.1 Densidad asociativa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General </w:t>
            </w:r>
          </w:p>
        </w:tc>
        <w:tc>
          <w:tcPr>
            <w:tcW w:w="2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4.1.1.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Cantidad de asociaciones formales       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  4.1.2.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Distribuciones geográficas de asociaciones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4.1.3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.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Distribución temática de asociaciones  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 4.1.4.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Proyectos                      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     4.1.5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Nº de personas que participan en las organizaciones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Catastro de </w:t>
            </w:r>
            <w:smartTag w:uri="urn:schemas-microsoft-com:office:smarttags" w:element="PersonName">
              <w:smartTagPr>
                <w:attr w:name="ProductID" w:val="la SEGEGOB"/>
              </w:smartTagPr>
              <w:r w:rsidRPr="00225A33">
                <w:rPr>
                  <w:rFonts w:ascii="Arial Narrow" w:hAnsi="Arial Narrow" w:cs="Arial"/>
                  <w:color w:val="000000"/>
                  <w:sz w:val="20"/>
                  <w:szCs w:val="20"/>
                </w:rPr>
                <w:t>la SEGEGOB</w:t>
              </w:r>
            </w:smartTag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Muestra de mu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nicipios               </w:t>
            </w:r>
            <w:r w:rsidR="002131E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Catastro regional PNUD 2000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       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Registro Ministerio de Justicia          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Registro Dirección del trabajo         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- 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Estudios Existentes en la región   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Dos fondos de proyecto regional : Fondo SC / otro a seleccionar   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EDR         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</w:t>
            </w:r>
            <w:r w:rsidR="002131E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Encuesta "más voces"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Estadística descriptiva                Evolución 1999 / 2008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Regional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Centros Regionales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7 y 8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7F0CDC" w:rsidRPr="00225A33" w:rsidRDefault="007F0CDC" w:rsidP="007F0CDC">
            <w:pPr>
              <w:rPr>
                <w:rFonts w:ascii="Arial" w:hAnsi="Arial" w:cs="Arial"/>
                <w:color w:val="FFFF99"/>
                <w:sz w:val="20"/>
                <w:szCs w:val="20"/>
              </w:rPr>
            </w:pPr>
            <w:r w:rsidRPr="00225A33">
              <w:rPr>
                <w:rFonts w:ascii="Arial" w:hAnsi="Arial" w:cs="Arial"/>
                <w:color w:val="FFFF99"/>
                <w:sz w:val="20"/>
                <w:szCs w:val="20"/>
              </w:rPr>
              <w:t>Decidir si establecer una muestra de municipios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vAlign w:val="bottom"/>
          </w:tcPr>
          <w:p w:rsidR="007F0CDC" w:rsidRDefault="007F0CDC" w:rsidP="007F0CDC">
            <w:pPr>
              <w:ind w:right="65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F0CDC" w:rsidTr="00877FCC">
        <w:trPr>
          <w:trHeight w:val="1587"/>
        </w:trPr>
        <w:tc>
          <w:tcPr>
            <w:tcW w:w="12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F0CDC" w:rsidRPr="00225A33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4. 2.Existencia, alcance y convocatoria de a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ctores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de intermediación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4.2.1. Diversidad de agentes de intermediación </w:t>
            </w:r>
          </w:p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4.2.2. Capacidad de convocatoria</w:t>
            </w:r>
          </w:p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4.2.3.  Agendas de convocatoria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Para identificación y clasificación: </w:t>
            </w:r>
          </w:p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Guía </w:t>
            </w:r>
            <w:proofErr w:type="spellStart"/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Silber</w:t>
            </w:r>
            <w:proofErr w:type="spellEnd"/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</w:p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Fondecyt</w:t>
            </w:r>
            <w:proofErr w:type="spellEnd"/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</w:t>
            </w:r>
            <w:r w:rsidR="002131E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Reconocimiento por pares                                               </w:t>
            </w:r>
          </w:p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- Entrevistas a informantes para capacidad y agendas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Regional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Centros Regionales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7 y 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7F0CDC" w:rsidRPr="00225A33" w:rsidRDefault="007F0CDC" w:rsidP="007F0C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A3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:rsidR="007F0CDC" w:rsidRDefault="007F0CDC" w:rsidP="007F0C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F0CDC" w:rsidTr="00877FCC">
        <w:trPr>
          <w:trHeight w:val="337"/>
        </w:trPr>
        <w:tc>
          <w:tcPr>
            <w:tcW w:w="12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5.  Articulación de </w:t>
            </w:r>
            <w:r w:rsidRPr="00225A33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 Redes</w:t>
            </w: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 Sociales</w:t>
            </w:r>
            <w:r w:rsidRPr="00225A33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5.1.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Existencia y alcance de r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edes formales de impacto regional 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5.1.1. Cantidad y diversidad de o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rganizaciones de segundo grado de alcance regional </w:t>
            </w:r>
          </w:p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5.1.2.  Nivel de actividad y convocatoria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Para identificación y clasificación                                            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Guía </w:t>
            </w:r>
            <w:proofErr w:type="spellStart"/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Silber</w:t>
            </w:r>
            <w:proofErr w:type="spellEnd"/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</w:p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Registro de dirección del trabajo Catastro de </w:t>
            </w:r>
            <w:proofErr w:type="spellStart"/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Cy</w:t>
            </w:r>
            <w:proofErr w:type="spellEnd"/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T</w:t>
            </w:r>
          </w:p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Para actividad y convocatoria:                          - Encuesta sobre actividades significativas el último año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Regional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Centros Regionales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7 y 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A33">
              <w:rPr>
                <w:rFonts w:ascii="Arial" w:hAnsi="Arial" w:cs="Arial"/>
                <w:color w:val="000000"/>
                <w:sz w:val="20"/>
                <w:szCs w:val="20"/>
              </w:rPr>
              <w:t>Determinar descriptores básicos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vAlign w:val="bottom"/>
          </w:tcPr>
          <w:p w:rsidR="007F0CDC" w:rsidRDefault="007F0CDC" w:rsidP="007F0C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F0CDC" w:rsidRPr="007F0CDC" w:rsidTr="00877FCC">
        <w:trPr>
          <w:trHeight w:val="1604"/>
        </w:trPr>
        <w:tc>
          <w:tcPr>
            <w:tcW w:w="12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F0CDC" w:rsidRPr="00225A33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A25E46" w:rsidRDefault="007F0CDC" w:rsidP="007F0CDC">
            <w:pPr>
              <w:rPr>
                <w:rFonts w:ascii="Arial Narrow" w:hAnsi="Arial Narrow" w:cs="Arial"/>
                <w:sz w:val="20"/>
                <w:szCs w:val="20"/>
              </w:rPr>
            </w:pPr>
            <w:r w:rsidRPr="00A25E46">
              <w:rPr>
                <w:rFonts w:ascii="Arial Narrow" w:hAnsi="Arial Narrow" w:cs="Arial"/>
                <w:sz w:val="20"/>
                <w:szCs w:val="20"/>
              </w:rPr>
              <w:t xml:space="preserve">5.2.  Redes informales 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A25E46" w:rsidRDefault="007F0CDC" w:rsidP="00A25E46">
            <w:pPr>
              <w:rPr>
                <w:rFonts w:ascii="Arial Narrow" w:hAnsi="Arial Narrow" w:cs="Arial"/>
                <w:sz w:val="20"/>
                <w:szCs w:val="20"/>
              </w:rPr>
            </w:pPr>
            <w:r w:rsidRPr="00A25E46">
              <w:rPr>
                <w:rFonts w:ascii="Arial Narrow" w:hAnsi="Arial Narrow" w:cs="Arial"/>
                <w:sz w:val="20"/>
                <w:szCs w:val="20"/>
              </w:rPr>
              <w:t xml:space="preserve">5.2.1. Por la dificultad de investigar esto, se ha sugerido acotarlo a </w:t>
            </w:r>
            <w:r w:rsidR="00A25E46" w:rsidRPr="00A25E46">
              <w:rPr>
                <w:rFonts w:ascii="Arial Narrow" w:hAnsi="Arial Narrow" w:cs="Arial"/>
                <w:sz w:val="20"/>
                <w:szCs w:val="20"/>
              </w:rPr>
              <w:t xml:space="preserve"> algunas redes políticas</w:t>
            </w:r>
            <w:r w:rsidRPr="00A25E46">
              <w:rPr>
                <w:rFonts w:ascii="Arial Narrow" w:hAnsi="Arial Narrow" w:cs="Arial"/>
                <w:sz w:val="20"/>
                <w:szCs w:val="20"/>
              </w:rPr>
              <w:t xml:space="preserve">.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A25E46" w:rsidRDefault="007F0CDC" w:rsidP="007F0CDC">
            <w:pPr>
              <w:rPr>
                <w:rFonts w:ascii="Arial Narrow" w:hAnsi="Arial Narrow" w:cs="Arial"/>
                <w:sz w:val="20"/>
                <w:szCs w:val="20"/>
              </w:rPr>
            </w:pPr>
            <w:r w:rsidRPr="00A25E46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A25E46" w:rsidRDefault="007F0CDC" w:rsidP="007F0CDC">
            <w:pPr>
              <w:rPr>
                <w:rFonts w:ascii="Arial Narrow" w:hAnsi="Arial Narrow" w:cs="Arial"/>
                <w:sz w:val="20"/>
                <w:szCs w:val="20"/>
              </w:rPr>
            </w:pPr>
            <w:r w:rsidRPr="00A25E46">
              <w:rPr>
                <w:rFonts w:ascii="Arial Narrow" w:hAnsi="Arial Narrow" w:cs="Arial"/>
                <w:sz w:val="20"/>
                <w:szCs w:val="20"/>
              </w:rPr>
              <w:t xml:space="preserve">Vincular metodológicamente Con el análisis de redes 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A25E46" w:rsidRDefault="007F0CDC" w:rsidP="007F0CDC">
            <w:pPr>
              <w:rPr>
                <w:rFonts w:ascii="Arial Narrow" w:hAnsi="Arial Narrow" w:cs="Arial"/>
                <w:sz w:val="20"/>
                <w:szCs w:val="20"/>
              </w:rPr>
            </w:pPr>
            <w:r w:rsidRPr="00A25E46">
              <w:rPr>
                <w:rFonts w:ascii="Arial Narrow" w:hAnsi="Arial Narrow" w:cs="Arial"/>
                <w:sz w:val="20"/>
                <w:szCs w:val="20"/>
              </w:rPr>
              <w:t>Regional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A25E46" w:rsidRDefault="007F0CDC" w:rsidP="007F0CDC">
            <w:pPr>
              <w:rPr>
                <w:rFonts w:ascii="Arial Narrow" w:hAnsi="Arial Narrow" w:cs="Arial"/>
                <w:sz w:val="20"/>
                <w:szCs w:val="20"/>
              </w:rPr>
            </w:pPr>
            <w:r w:rsidRPr="00A25E46">
              <w:rPr>
                <w:rFonts w:ascii="Arial Narrow" w:hAnsi="Arial Narrow" w:cs="Arial"/>
                <w:sz w:val="20"/>
                <w:szCs w:val="20"/>
              </w:rPr>
              <w:t xml:space="preserve">Centros Regionales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A25E46" w:rsidRDefault="007F0CDC" w:rsidP="007F0CDC">
            <w:pPr>
              <w:rPr>
                <w:rFonts w:ascii="Arial Narrow" w:hAnsi="Arial Narrow" w:cs="Arial"/>
                <w:sz w:val="20"/>
                <w:szCs w:val="20"/>
              </w:rPr>
            </w:pPr>
            <w:r w:rsidRPr="00A25E46">
              <w:rPr>
                <w:rFonts w:ascii="Arial Narrow" w:hAnsi="Arial Narrow" w:cs="Arial"/>
                <w:sz w:val="20"/>
                <w:szCs w:val="20"/>
              </w:rPr>
              <w:t>7 y 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A25E46" w:rsidRDefault="007F0CDC" w:rsidP="007F0CDC">
            <w:pPr>
              <w:rPr>
                <w:rFonts w:ascii="Arial Narrow" w:hAnsi="Arial Narrow" w:cs="Arial"/>
                <w:sz w:val="20"/>
                <w:szCs w:val="20"/>
              </w:rPr>
            </w:pPr>
            <w:r w:rsidRPr="00A25E46">
              <w:rPr>
                <w:rFonts w:ascii="Arial Narrow" w:hAnsi="Arial Narrow" w:cs="Arial"/>
                <w:sz w:val="20"/>
                <w:szCs w:val="20"/>
              </w:rPr>
              <w:t xml:space="preserve">Acotar a un espacio delimitado. Se sugiere aplicar sólo a redes políticas. Determinar metodología para esto.   ( </w:t>
            </w:r>
            <w:proofErr w:type="spellStart"/>
            <w:r w:rsidRPr="00A25E46">
              <w:rPr>
                <w:rFonts w:ascii="Arial Narrow" w:hAnsi="Arial Narrow" w:cs="Arial"/>
                <w:sz w:val="20"/>
                <w:szCs w:val="20"/>
              </w:rPr>
              <w:t>Paper</w:t>
            </w:r>
            <w:proofErr w:type="spellEnd"/>
            <w:r w:rsidRPr="00A25E46">
              <w:rPr>
                <w:rFonts w:ascii="Arial Narrow" w:hAnsi="Arial Narrow" w:cs="Arial"/>
                <w:sz w:val="20"/>
                <w:szCs w:val="20"/>
              </w:rPr>
              <w:t xml:space="preserve"> José Ignacio Porras)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vAlign w:val="bottom"/>
          </w:tcPr>
          <w:p w:rsidR="007F0CDC" w:rsidRPr="007F0CDC" w:rsidRDefault="007F0CDC" w:rsidP="007F0CDC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</w:tr>
      <w:tr w:rsidR="007F0CDC" w:rsidTr="00877FCC">
        <w:trPr>
          <w:trHeight w:val="1062"/>
        </w:trPr>
        <w:tc>
          <w:tcPr>
            <w:tcW w:w="12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F0CDC" w:rsidRPr="00225A33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5.3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Existencia, distribución y alcance de las r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edes extra regionales 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5.3.1.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'Pertenencia a una organización mayor                            </w:t>
            </w:r>
          </w:p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5.3.2.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Proyectos de cooperación nacionales e Internacionales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                                    5.3.3. Redes y alcance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nacionales e  internacionales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- Fuentes nacionales (equipo central)                                               - Registros regionales</w:t>
            </w:r>
          </w:p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- Entrevistas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Análisis de “conectividad” social 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Nacional / Regional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Equipo Central / Centros Regionales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7 y 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7F0CDC" w:rsidRPr="00225A33" w:rsidRDefault="007F0CDC" w:rsidP="007F0C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A3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:rsidR="007F0CDC" w:rsidRDefault="007F0CDC" w:rsidP="007F0C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F0CDC" w:rsidTr="00877FCC">
        <w:trPr>
          <w:trHeight w:val="1558"/>
        </w:trPr>
        <w:tc>
          <w:tcPr>
            <w:tcW w:w="12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6. </w:t>
            </w:r>
            <w:r w:rsidRPr="00225A33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Movilización Regional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6.1.Agendas de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Movilización simbólica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6.1.1.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Demandas Sociales            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     6.1.2.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Promotores y detractores    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     6.1.3.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Percepciones de participación y percepción pública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Entrevista a informantes clave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</w:t>
            </w:r>
          </w:p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Revisión de periódicos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en torno a casos seleccionados       </w:t>
            </w:r>
            <w:r w:rsidR="002131E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Estrategia de Desarrollo Regional</w:t>
            </w:r>
          </w:p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- Fuentes secundarias (estudios)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- Mapa cualitativo de Temas y actores (promotores y detractores) de movilización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Regional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Centros Regionales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7 y 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7F0CDC" w:rsidRPr="00225A33" w:rsidRDefault="007F0CDC" w:rsidP="007F0C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A3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vAlign w:val="bottom"/>
          </w:tcPr>
          <w:p w:rsidR="007F0CDC" w:rsidRDefault="007F0CDC" w:rsidP="007F0C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F0CDC" w:rsidTr="00877FCC">
        <w:trPr>
          <w:trHeight w:val="1997"/>
        </w:trPr>
        <w:tc>
          <w:tcPr>
            <w:tcW w:w="12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F0CDC" w:rsidRPr="00225A33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6.2. Grado de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Movilización efectiva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6.2.1. Ocurrencia de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Movilizaciones (huelgas, paros, conflictos ambientales) actores - motivos - ubicación geográfica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     6.2.2.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Caracterización de las d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emanda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s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de actores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Entrevistas a informantes claves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</w:t>
            </w:r>
          </w:p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Informe de Derechos Humanos UDP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Observatorio de Conflictos ambientales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</w:p>
          <w:p w:rsidR="007F0CDC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Descripción de conflictos seleccionados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</w:t>
            </w:r>
          </w:p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Revisión de periódicos a partir de experiencias identificadas 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Categorías de Velásquez y González              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Regional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Centros Regionales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7 y 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7F0CDC" w:rsidRPr="00225A33" w:rsidRDefault="007F0CDC" w:rsidP="007F0C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A33">
              <w:rPr>
                <w:rFonts w:ascii="Arial" w:hAnsi="Arial" w:cs="Arial"/>
                <w:color w:val="000000"/>
                <w:sz w:val="20"/>
                <w:szCs w:val="20"/>
              </w:rPr>
              <w:t xml:space="preserve">Tarea concreta Identificar conflictos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:rsidR="007F0CDC" w:rsidRDefault="007F0CDC" w:rsidP="007F0C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F0CDC" w:rsidTr="00877FCC">
        <w:trPr>
          <w:trHeight w:val="724"/>
        </w:trPr>
        <w:tc>
          <w:tcPr>
            <w:tcW w:w="12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7. </w:t>
            </w:r>
            <w:r w:rsidRPr="00225A33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 Incidencia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7.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 'Incidencia en políticas públicas 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- Aplicación de instrumento de documentación a casos seleccionados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Categoría de incidencia </w:t>
            </w:r>
            <w:proofErr w:type="spellStart"/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Delamaza</w:t>
            </w:r>
            <w:proofErr w:type="spellEnd"/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y Ochsenius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Nacional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Investigador asociado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Posible </w:t>
            </w:r>
            <w:proofErr w:type="spellStart"/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paper</w:t>
            </w:r>
            <w:proofErr w:type="spellEnd"/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Decidir su inclusi</w:t>
            </w:r>
            <w:r w:rsidR="00877FCC">
              <w:rPr>
                <w:rFonts w:ascii="Arial Narrow" w:hAnsi="Arial Narrow" w:cs="Arial"/>
                <w:color w:val="000000"/>
                <w:sz w:val="20"/>
                <w:szCs w:val="20"/>
              </w:rPr>
              <w:t>ón una vez que se tenga el Mapa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F0CDC" w:rsidRDefault="007F0CDC" w:rsidP="007F0C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F0CDC" w:rsidTr="00877FCC">
        <w:trPr>
          <w:trHeight w:val="1058"/>
        </w:trPr>
        <w:tc>
          <w:tcPr>
            <w:tcW w:w="12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F0CDC" w:rsidRPr="00225A33" w:rsidRDefault="007F0CDC" w:rsidP="007F0CDC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7.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.2 'Incidencia en fortalecimiento ciudadano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- Aplicación de instrumento de documentación a casos seleccionados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categorías de incidencia </w:t>
            </w:r>
            <w:proofErr w:type="spellStart"/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Delamaza</w:t>
            </w:r>
            <w:proofErr w:type="spellEnd"/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Ochsenius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Nacional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Investigador asociado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7F0CDC" w:rsidRPr="00225A33" w:rsidRDefault="007F0CDC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. Ídem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F0CDC" w:rsidRDefault="007F0CDC" w:rsidP="007F0CD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B701DD" w:rsidRPr="00B701DD" w:rsidRDefault="00B701DD">
      <w:pPr>
        <w:rPr>
          <w:rFonts w:ascii="Arial Narrow" w:hAnsi="Arial Narrow"/>
        </w:rPr>
      </w:pPr>
    </w:p>
    <w:tbl>
      <w:tblPr>
        <w:tblpPr w:leftFromText="141" w:rightFromText="141" w:vertAnchor="text" w:horzAnchor="page" w:tblpX="699" w:tblpY="623"/>
        <w:tblW w:w="169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17"/>
        <w:gridCol w:w="1645"/>
        <w:gridCol w:w="4188"/>
        <w:gridCol w:w="1980"/>
        <w:gridCol w:w="1260"/>
        <w:gridCol w:w="900"/>
        <w:gridCol w:w="720"/>
        <w:gridCol w:w="900"/>
        <w:gridCol w:w="1800"/>
        <w:gridCol w:w="1980"/>
      </w:tblGrid>
      <w:tr w:rsidR="00B701DD" w:rsidRPr="00B701DD" w:rsidTr="00877FCC">
        <w:trPr>
          <w:trHeight w:val="345"/>
        </w:trPr>
        <w:tc>
          <w:tcPr>
            <w:tcW w:w="1699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</w:tcPr>
          <w:p w:rsidR="00B701DD" w:rsidRPr="00B701DD" w:rsidRDefault="00B701DD" w:rsidP="00B701DD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III Dimensión Política </w:t>
            </w:r>
          </w:p>
        </w:tc>
      </w:tr>
      <w:tr w:rsidR="00877FCC" w:rsidTr="00877FCC">
        <w:trPr>
          <w:trHeight w:val="507"/>
        </w:trPr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CC00"/>
          </w:tcPr>
          <w:p w:rsidR="00B701DD" w:rsidRPr="00CE5530" w:rsidRDefault="00B701DD" w:rsidP="00421188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Dimensiones analíticas 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CC00"/>
          </w:tcPr>
          <w:p w:rsidR="00B701DD" w:rsidRPr="00CE5530" w:rsidRDefault="00B701DD" w:rsidP="00421188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Variables</w:t>
            </w:r>
          </w:p>
        </w:tc>
        <w:tc>
          <w:tcPr>
            <w:tcW w:w="4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CC00"/>
          </w:tcPr>
          <w:p w:rsidR="00B701DD" w:rsidRPr="00CE5530" w:rsidRDefault="00B701DD" w:rsidP="00421188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Indicadores priorizados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CC00"/>
          </w:tcPr>
          <w:p w:rsidR="00B701DD" w:rsidRPr="00CE5530" w:rsidRDefault="00B701DD" w:rsidP="00421188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Técnicas de Investigación y Fuentes de Información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CC00"/>
          </w:tcPr>
          <w:p w:rsidR="00B701DD" w:rsidRPr="00CE5530" w:rsidRDefault="00B701DD" w:rsidP="00421188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Tipo de análisis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CC00"/>
          </w:tcPr>
          <w:p w:rsidR="00B701DD" w:rsidRPr="00CE5530" w:rsidRDefault="00B701DD" w:rsidP="00421188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Nivel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CC00"/>
          </w:tcPr>
          <w:p w:rsidR="00B701DD" w:rsidRPr="00CE5530" w:rsidRDefault="00B701DD" w:rsidP="00421188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Responsable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CC00"/>
          </w:tcPr>
          <w:p w:rsidR="00B701DD" w:rsidRPr="00CE5530" w:rsidRDefault="00B701DD" w:rsidP="00421188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Producto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CC00"/>
          </w:tcPr>
          <w:p w:rsidR="00B701DD" w:rsidRPr="00CE5530" w:rsidRDefault="00B701DD" w:rsidP="00421188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Recomendaciones a Investigadores 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00"/>
          </w:tcPr>
          <w:p w:rsidR="00B701DD" w:rsidRPr="00CE5530" w:rsidRDefault="00B701DD" w:rsidP="00421188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CE5530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Tarea para los investigadores </w:t>
            </w:r>
          </w:p>
        </w:tc>
      </w:tr>
      <w:tr w:rsidR="00877FCC" w:rsidTr="00877FCC">
        <w:trPr>
          <w:trHeight w:val="1018"/>
        </w:trPr>
        <w:tc>
          <w:tcPr>
            <w:tcW w:w="161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1DD" w:rsidRPr="00225A33" w:rsidRDefault="00B701DD" w:rsidP="00B701DD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8. </w:t>
            </w:r>
            <w:r w:rsidRPr="00225A33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 'Reglas generales del sistema político 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1DD" w:rsidRPr="00225A33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8.1 Incentivos (positivos o negativos) de las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Reglas de los partidos políticos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en relación a la descentralización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41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1DD" w:rsidRPr="00225A33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1DD" w:rsidRPr="00225A33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Ley de partidos políticos 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1DD" w:rsidRDefault="00B701DD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- Categorías por definir</w:t>
            </w:r>
          </w:p>
          <w:p w:rsidR="00B701DD" w:rsidRDefault="00B701DD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:rsidR="00B701DD" w:rsidRPr="00225A33" w:rsidRDefault="00B701DD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1DD" w:rsidRPr="00225A33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Nacional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1DD" w:rsidRPr="00225A33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Equipo central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1DD" w:rsidRPr="00225A33" w:rsidRDefault="00B701DD" w:rsidP="00B701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A3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701DD" w:rsidRPr="00225A33" w:rsidRDefault="00B701DD" w:rsidP="00B701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A3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701DD" w:rsidRDefault="00B701DD" w:rsidP="00B701D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77FCC" w:rsidTr="00877FCC">
        <w:trPr>
          <w:trHeight w:val="882"/>
        </w:trPr>
        <w:tc>
          <w:tcPr>
            <w:tcW w:w="161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1DD" w:rsidRPr="00225A33" w:rsidRDefault="00B701DD" w:rsidP="00B701DD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1DD" w:rsidRPr="00225A33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8.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Incentivos positivos o negativos del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Sistema Electoral 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1DD" w:rsidRPr="00225A33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701DD" w:rsidRPr="00225A33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Definición de los distritos/ formas de elección/ limitaciones/ ley electoral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701DD" w:rsidRPr="00225A33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1DD" w:rsidRPr="00225A33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Nacional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1DD" w:rsidRPr="00225A33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Equipo central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1DD" w:rsidRPr="00225A33" w:rsidRDefault="00B701DD" w:rsidP="00B701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A3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701DD" w:rsidRPr="00225A33" w:rsidRDefault="00B701DD" w:rsidP="00B701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A3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701DD" w:rsidRDefault="00B701DD" w:rsidP="00B701D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77FCC" w:rsidTr="00877FCC">
        <w:trPr>
          <w:trHeight w:val="1337"/>
        </w:trPr>
        <w:tc>
          <w:tcPr>
            <w:tcW w:w="16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B701DD" w:rsidRPr="00225A33" w:rsidRDefault="00B701DD" w:rsidP="00B701DD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9. </w:t>
            </w:r>
            <w:r w:rsidRPr="00225A33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  Posición de los partidos políticos en relación a la descentralización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1DD" w:rsidRPr="00225A33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9.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1.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Relevancia de la descentralización en las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Decisiones programáticas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de los partidos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DD" w:rsidRPr="00225A33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DD" w:rsidRPr="00225A33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Análisis de contenido de resoluciones de instancias máximas de todos los partidos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DD" w:rsidRDefault="00B701DD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- Alta / Baja /Nula</w:t>
            </w:r>
          </w:p>
          <w:p w:rsidR="00B701DD" w:rsidRPr="00225A33" w:rsidRDefault="00B701DD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Análisis de contenido y agenda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DD" w:rsidRPr="00225A33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Nacional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1DD" w:rsidRPr="00225A33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Equipo central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DD" w:rsidRPr="00225A33" w:rsidRDefault="00B701DD" w:rsidP="00B701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A3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1DD" w:rsidRPr="00225A33" w:rsidRDefault="00B701DD" w:rsidP="00B701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A3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701DD" w:rsidRDefault="00B701DD" w:rsidP="00B701D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77FCC" w:rsidTr="00877FCC">
        <w:trPr>
          <w:trHeight w:val="517"/>
        </w:trPr>
        <w:tc>
          <w:tcPr>
            <w:tcW w:w="16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701DD" w:rsidRPr="00225A33" w:rsidRDefault="00B701DD" w:rsidP="00B701DD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701DD" w:rsidRPr="00225A33" w:rsidRDefault="00B701DD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9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.2.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Cantidad y agenda de los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Proyectos de ley sobre descentralización    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701DD" w:rsidRPr="00A25E46" w:rsidRDefault="00B701DD" w:rsidP="00B701DD">
            <w:pPr>
              <w:rPr>
                <w:rFonts w:ascii="Arial Narrow" w:hAnsi="Arial Narrow" w:cs="Arial"/>
                <w:sz w:val="20"/>
                <w:szCs w:val="20"/>
              </w:rPr>
            </w:pPr>
            <w:r w:rsidRPr="00A25E46">
              <w:rPr>
                <w:rFonts w:ascii="Arial Narrow" w:hAnsi="Arial Narrow" w:cs="Arial"/>
                <w:sz w:val="20"/>
                <w:szCs w:val="20"/>
              </w:rPr>
              <w:t xml:space="preserve">9.2.1. Cantidad absoluta: Listado de proyectos de descentralización                                   </w:t>
            </w:r>
            <w:r w:rsidR="00877FCC" w:rsidRPr="00A25E46">
              <w:rPr>
                <w:rFonts w:ascii="Arial Narrow" w:hAnsi="Arial Narrow" w:cs="Arial"/>
                <w:sz w:val="20"/>
                <w:szCs w:val="20"/>
              </w:rPr>
              <w:t xml:space="preserve">                 </w:t>
            </w:r>
            <w:r w:rsidRPr="00A25E46">
              <w:rPr>
                <w:rFonts w:ascii="Arial Narrow" w:hAnsi="Arial Narrow" w:cs="Arial"/>
                <w:sz w:val="20"/>
                <w:szCs w:val="20"/>
              </w:rPr>
              <w:t xml:space="preserve">  9.2.2.  Prioridad del tema para los parlamentarios: Proyectos de ley impulsados por parlamentarios.                                               9.2.3.  Prioridad para el ejecutivo: Proyectos de ley impulsada por el ejecutivo                                                     9.2.4. Prioridades compartidas: Proyectos de ley impulsado por el ejecutivo y patrocinado por parlamentarios                                        </w:t>
            </w:r>
            <w:r w:rsidR="00877FCC" w:rsidRPr="00A25E46">
              <w:rPr>
                <w:rFonts w:ascii="Arial Narrow" w:hAnsi="Arial Narrow" w:cs="Arial"/>
                <w:sz w:val="20"/>
                <w:szCs w:val="20"/>
              </w:rPr>
              <w:t xml:space="preserve">                    </w:t>
            </w:r>
            <w:r w:rsidRPr="00A25E46">
              <w:rPr>
                <w:rFonts w:ascii="Arial Narrow" w:hAnsi="Arial Narrow" w:cs="Arial"/>
                <w:sz w:val="20"/>
                <w:szCs w:val="20"/>
              </w:rPr>
              <w:t xml:space="preserve">   9.2.5.  Comportamiento efectivo de parlamentarios en proyectos seleccionados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701DD" w:rsidRPr="00225A33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Barómetro de Iniciativas Legislativas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    - </w:t>
            </w: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Registro de votaciones en sala de algunos proyecto seleccionados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701DD" w:rsidRPr="00225A33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701DD" w:rsidRPr="00225A33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Nacional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701DD" w:rsidRPr="00225A33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Equipo central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701DD" w:rsidRPr="00225A33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225A33">
              <w:rPr>
                <w:rFonts w:ascii="Arial Narrow" w:hAnsi="Arial Narrow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1DD" w:rsidRPr="00225A33" w:rsidRDefault="00B701DD" w:rsidP="00B701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A3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701DD" w:rsidRDefault="00B701DD" w:rsidP="00B701D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77FCC" w:rsidRPr="00C63857" w:rsidTr="00877FCC">
        <w:trPr>
          <w:trHeight w:val="2875"/>
        </w:trPr>
        <w:tc>
          <w:tcPr>
            <w:tcW w:w="16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99"/>
          </w:tcPr>
          <w:p w:rsidR="00B701DD" w:rsidRDefault="00B701DD" w:rsidP="00B701DD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  <w:p w:rsidR="00B701DD" w:rsidRDefault="00B701DD" w:rsidP="00B701DD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  <w:p w:rsidR="00B701DD" w:rsidRPr="00C63857" w:rsidRDefault="00B701DD" w:rsidP="00B701DD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10. </w:t>
            </w:r>
            <w:r w:rsidRPr="00C63857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 Mapa político regional                          ( Distribución del poder en el territorio / historia de la distribución del poder político)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B701DD" w:rsidRPr="00C63857" w:rsidRDefault="00B701DD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10</w:t>
            </w: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>.1.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Características, autonomía y agendas de los </w:t>
            </w: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Actores políticos individuales  en la regiones    (senador, diputado, alcalde, intendente)                                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B701DD" w:rsidRPr="00C63857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10.1.1. </w:t>
            </w: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Tasas de reelección de autoridades de la región (senador, diputado, alcaldes)    Desde el año 90 en adelante.                               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    10.1.2. </w:t>
            </w: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Duración del ejercicio del cargo del intendente                                                        (3) Caracterización de las autoridades individuales </w:t>
            </w:r>
            <w:proofErr w:type="gramStart"/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>( edad</w:t>
            </w:r>
            <w:proofErr w:type="gramEnd"/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, sexo, profesión),                   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     10.1.3. </w:t>
            </w: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Análisis </w:t>
            </w:r>
            <w:proofErr w:type="spellStart"/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>prosopográfico</w:t>
            </w:r>
            <w:proofErr w:type="spellEnd"/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de autoridades seleccionadas (trayectoria gremial, empresarial, sindical, vecinal y/o asociativa en el territorio (Muestra).                                    </w:t>
            </w:r>
            <w:r w:rsidRPr="00C63857">
              <w:rPr>
                <w:rFonts w:ascii="Arial Narrow" w:hAnsi="Arial Narrow" w:cs="Arial"/>
                <w:color w:val="FF0000"/>
                <w:sz w:val="20"/>
                <w:szCs w:val="20"/>
              </w:rPr>
              <w:t xml:space="preserve">    </w:t>
            </w: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B701DD" w:rsidRPr="00C63857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Entrevistas a actores políticos regionales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                      - </w:t>
            </w: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Datos básicos de autoridades nacionales (edad sexo profesión partido político)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- </w:t>
            </w: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Análisis </w:t>
            </w:r>
            <w:proofErr w:type="spellStart"/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>prosopog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r</w:t>
            </w: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>áfico</w:t>
            </w:r>
            <w:proofErr w:type="spellEnd"/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de autoridades seleccionadas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- </w:t>
            </w: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Duración en el cargo del intendente y partido    político                       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  - </w:t>
            </w: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Trayectoria política de autoridades seleccionadas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B701DD" w:rsidRPr="00C63857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B701DD" w:rsidRPr="00C63857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Regional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B701DD" w:rsidRPr="00C63857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Centros Regionales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B701DD" w:rsidRPr="00C63857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>7 y 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B701DD" w:rsidRPr="00C63857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>Desagregar el nivel subnacional Determinar muestra de alcaldes.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vAlign w:val="bottom"/>
          </w:tcPr>
          <w:p w:rsidR="00B701DD" w:rsidRPr="00C63857" w:rsidRDefault="00B701DD" w:rsidP="00B701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38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77FCC" w:rsidRPr="00C63857" w:rsidTr="00877FCC">
        <w:trPr>
          <w:trHeight w:val="1264"/>
        </w:trPr>
        <w:tc>
          <w:tcPr>
            <w:tcW w:w="16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701DD" w:rsidRPr="00C63857" w:rsidRDefault="00B701DD" w:rsidP="00B701DD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701DD" w:rsidRPr="00C63857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10. </w:t>
            </w: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Características, autonomía y agendas de los cuerpos electos: </w:t>
            </w: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>Consejos: regionales y comunales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B701DD" w:rsidRPr="00C63857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10.2.1. </w:t>
            </w: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Relación de CORES con estructura política  (relación e influencia de los municipios y parlamentarios).                              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B701DD" w:rsidRPr="00C63857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- </w:t>
            </w: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Entrevistas a los CORES con más tiempo en el  cargo (6 o 7 </w:t>
            </w:r>
            <w:proofErr w:type="spellStart"/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>Cores</w:t>
            </w:r>
            <w:proofErr w:type="spellEnd"/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,  por 1 partido político).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B701DD" w:rsidRPr="00C63857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B701DD" w:rsidRPr="00C63857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>Regional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B701DD" w:rsidRPr="00C63857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Centros Regionales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B701DD" w:rsidRPr="00C63857" w:rsidRDefault="00B701DD" w:rsidP="00B701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3857">
              <w:rPr>
                <w:rFonts w:ascii="Arial" w:hAnsi="Arial" w:cs="Arial"/>
                <w:color w:val="000000"/>
                <w:sz w:val="20"/>
                <w:szCs w:val="20"/>
              </w:rPr>
              <w:t>7 y 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B701DD" w:rsidRPr="00C63857" w:rsidRDefault="00B701DD" w:rsidP="00B701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38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vAlign w:val="bottom"/>
          </w:tcPr>
          <w:p w:rsidR="00B701DD" w:rsidRPr="00C63857" w:rsidRDefault="00B701DD" w:rsidP="00B701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38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77FCC" w:rsidRPr="00C63857" w:rsidTr="00877FCC">
        <w:trPr>
          <w:trHeight w:val="3212"/>
        </w:trPr>
        <w:tc>
          <w:tcPr>
            <w:tcW w:w="16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701DD" w:rsidRPr="00C63857" w:rsidRDefault="00B701DD" w:rsidP="00B701DD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B701DD" w:rsidRPr="00C63857" w:rsidRDefault="00B701DD" w:rsidP="00877FC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10.3 </w:t>
            </w: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Incidencia de los factores locales, regionales y nacionales en las carreras políticas relevantes 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B701DD" w:rsidRPr="00C63857" w:rsidRDefault="00B701DD" w:rsidP="00B701DD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10. 3.1. </w:t>
            </w:r>
            <w:r w:rsidRPr="00C63857">
              <w:rPr>
                <w:rFonts w:ascii="Arial Narrow" w:hAnsi="Arial Narrow" w:cs="Arial"/>
                <w:sz w:val="20"/>
                <w:szCs w:val="20"/>
              </w:rPr>
              <w:t xml:space="preserve">Margen absoluto de Seguridad Electoral (Mase) a Nivel regional                                                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                           10. 3.2. </w:t>
            </w:r>
            <w:r w:rsidRPr="00C63857">
              <w:rPr>
                <w:rFonts w:ascii="Arial Narrow" w:hAnsi="Arial Narrow" w:cs="Arial"/>
                <w:sz w:val="20"/>
                <w:szCs w:val="20"/>
              </w:rPr>
              <w:t xml:space="preserve"> Índice de volatilidad electoral de </w:t>
            </w:r>
            <w:proofErr w:type="spellStart"/>
            <w:r w:rsidRPr="00C63857">
              <w:rPr>
                <w:rFonts w:ascii="Arial Narrow" w:hAnsi="Arial Narrow" w:cs="Arial"/>
                <w:sz w:val="20"/>
                <w:szCs w:val="20"/>
              </w:rPr>
              <w:t>Pedersen</w:t>
            </w:r>
            <w:proofErr w:type="spellEnd"/>
            <w:r w:rsidRPr="00C63857">
              <w:rPr>
                <w:rFonts w:ascii="Arial Narrow" w:hAnsi="Arial Narrow" w:cs="Arial"/>
                <w:sz w:val="20"/>
                <w:szCs w:val="20"/>
              </w:rPr>
              <w:t xml:space="preserve"> de los CORES                                                 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                            10. 3.3 </w:t>
            </w:r>
            <w:r w:rsidRPr="00C63857">
              <w:rPr>
                <w:rFonts w:ascii="Arial Narrow" w:hAnsi="Arial Narrow" w:cs="Arial"/>
                <w:sz w:val="20"/>
                <w:szCs w:val="20"/>
              </w:rPr>
              <w:t xml:space="preserve"> Historia individual partidaria mediante identificación de las posiciones ocupadas en cada partido </w:t>
            </w:r>
            <w:proofErr w:type="gramStart"/>
            <w:r w:rsidRPr="00C63857">
              <w:rPr>
                <w:rFonts w:ascii="Arial Narrow" w:hAnsi="Arial Narrow" w:cs="Arial"/>
                <w:sz w:val="20"/>
                <w:szCs w:val="20"/>
              </w:rPr>
              <w:t>( para</w:t>
            </w:r>
            <w:proofErr w:type="gramEnd"/>
            <w:r w:rsidRPr="00C63857">
              <w:rPr>
                <w:rFonts w:ascii="Arial Narrow" w:hAnsi="Arial Narrow" w:cs="Arial"/>
                <w:sz w:val="20"/>
                <w:szCs w:val="20"/>
              </w:rPr>
              <w:t xml:space="preserve"> actores seleccionadas)                                      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                            10. 3.4 </w:t>
            </w:r>
            <w:r w:rsidRPr="00C63857">
              <w:rPr>
                <w:rFonts w:ascii="Arial Narrow" w:hAnsi="Arial Narrow" w:cs="Arial"/>
                <w:sz w:val="20"/>
                <w:szCs w:val="20"/>
              </w:rPr>
              <w:t xml:space="preserve"> Migraciones inter-partidarias; tipo de vinculación con el diputado, senador y los alcaldes de la región (para actores seleccionadas)                                      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                            10. 3. 5 </w:t>
            </w:r>
            <w:r w:rsidRPr="00C63857">
              <w:rPr>
                <w:rFonts w:ascii="Arial Narrow" w:hAnsi="Arial Narrow" w:cs="Arial"/>
                <w:sz w:val="20"/>
                <w:szCs w:val="20"/>
              </w:rPr>
              <w:t xml:space="preserve"> Pertenencia a la región  o por vía externa                       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                                  10. 3. 6 </w:t>
            </w:r>
            <w:r w:rsidRPr="00C63857">
              <w:rPr>
                <w:rFonts w:ascii="Arial Narrow" w:hAnsi="Arial Narrow" w:cs="Arial"/>
                <w:sz w:val="20"/>
                <w:szCs w:val="20"/>
              </w:rPr>
              <w:t xml:space="preserve"> Tipo de liderazgo                           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                            10.3 7 </w:t>
            </w:r>
            <w:r w:rsidRPr="00C63857">
              <w:rPr>
                <w:rFonts w:ascii="Arial Narrow" w:hAnsi="Arial Narrow" w:cs="Arial"/>
                <w:sz w:val="20"/>
                <w:szCs w:val="20"/>
              </w:rPr>
              <w:t xml:space="preserve"> Mecanismos y conflictos en la nominación de candidatos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B701DD" w:rsidRPr="00C63857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B701DD" w:rsidRPr="00FA49DA" w:rsidRDefault="00B701DD" w:rsidP="007F0CDC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> </w:t>
            </w:r>
            <w:r>
              <w:t xml:space="preserve"> </w:t>
            </w:r>
            <w:r w:rsidRPr="00FA49DA">
              <w:rPr>
                <w:rFonts w:ascii="Arial Narrow" w:hAnsi="Arial Narrow" w:cs="Arial"/>
                <w:color w:val="000000"/>
                <w:sz w:val="20"/>
                <w:szCs w:val="20"/>
              </w:rPr>
              <w:t>Análisis de trayectoria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B701DD" w:rsidRPr="00C63857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>Regional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B701DD" w:rsidRPr="00C63857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Centros Regionales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B701DD" w:rsidRPr="00C63857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>7 y 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</w:tcPr>
          <w:p w:rsidR="00B701DD" w:rsidRPr="00C63857" w:rsidRDefault="00B701DD" w:rsidP="00B701DD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Las trayectorias permiten ver la relación entre centro región - Región </w:t>
            </w:r>
            <w:proofErr w:type="spellStart"/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>Región</w:t>
            </w:r>
            <w:proofErr w:type="spellEnd"/>
            <w:r w:rsidRPr="00C6385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bottom"/>
          </w:tcPr>
          <w:p w:rsidR="00B701DD" w:rsidRPr="00C63857" w:rsidRDefault="00B701DD" w:rsidP="00B701D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38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C57E72" w:rsidRDefault="00C57E72">
      <w:pPr>
        <w:rPr>
          <w:sz w:val="20"/>
          <w:szCs w:val="20"/>
        </w:rPr>
      </w:pPr>
    </w:p>
    <w:tbl>
      <w:tblPr>
        <w:tblW w:w="14988" w:type="dxa"/>
        <w:tblInd w:w="-11498" w:type="dxa"/>
        <w:tblCellMar>
          <w:left w:w="70" w:type="dxa"/>
          <w:right w:w="70" w:type="dxa"/>
        </w:tblCellMar>
        <w:tblLook w:val="0000"/>
      </w:tblPr>
      <w:tblGrid>
        <w:gridCol w:w="2140"/>
        <w:gridCol w:w="1530"/>
        <w:gridCol w:w="3398"/>
        <w:gridCol w:w="2576"/>
        <w:gridCol w:w="1564"/>
        <w:gridCol w:w="1260"/>
        <w:gridCol w:w="1263"/>
        <w:gridCol w:w="1257"/>
      </w:tblGrid>
      <w:tr w:rsidR="00FA49DA" w:rsidTr="00BA5625">
        <w:trPr>
          <w:trHeight w:val="621"/>
        </w:trPr>
        <w:tc>
          <w:tcPr>
            <w:tcW w:w="149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A49DA" w:rsidRPr="00FA49DA" w:rsidRDefault="00FA49DA" w:rsidP="00FA49DA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FA49DA">
              <w:rPr>
                <w:rFonts w:ascii="Arial Narrow" w:hAnsi="Arial Narrow" w:cs="Arial"/>
                <w:b/>
                <w:bCs/>
                <w:color w:val="000000"/>
              </w:rPr>
              <w:t xml:space="preserve">CONTEXTO DE </w:t>
            </w:r>
            <w:smartTag w:uri="urn:schemas-microsoft-com:office:smarttags" w:element="PersonName">
              <w:smartTagPr>
                <w:attr w:name="ProductID" w:val="la Regi￳n"/>
              </w:smartTagPr>
              <w:r w:rsidRPr="00FA49DA">
                <w:rPr>
                  <w:rFonts w:ascii="Arial Narrow" w:hAnsi="Arial Narrow" w:cs="Arial"/>
                  <w:b/>
                  <w:bCs/>
                  <w:color w:val="000000"/>
                </w:rPr>
                <w:t>LA REGIÓN</w:t>
              </w:r>
            </w:smartTag>
            <w:r w:rsidRPr="00FA49DA">
              <w:rPr>
                <w:rFonts w:ascii="Arial Narrow" w:hAnsi="Arial Narrow" w:cs="Arial"/>
                <w:b/>
                <w:bCs/>
                <w:color w:val="000000"/>
              </w:rPr>
              <w:t xml:space="preserve"> </w:t>
            </w:r>
          </w:p>
        </w:tc>
      </w:tr>
      <w:tr w:rsidR="005D6FA2" w:rsidTr="00BA5625">
        <w:trPr>
          <w:trHeight w:val="31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D6FA2" w:rsidRPr="00C57E72" w:rsidRDefault="005D6FA2">
            <w:pPr>
              <w:rPr>
                <w:rFonts w:ascii="Arial Narrow" w:hAnsi="Arial Narrow" w:cs="Arial"/>
                <w:color w:val="000000"/>
              </w:rPr>
            </w:pPr>
            <w:r w:rsidRPr="00C57E72">
              <w:rPr>
                <w:rFonts w:ascii="Arial Narrow" w:hAnsi="Arial Narrow" w:cs="Arial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6FA2" w:rsidRPr="00C57E72" w:rsidRDefault="005D6FA2">
            <w:pPr>
              <w:rPr>
                <w:rFonts w:ascii="Arial Narrow" w:hAnsi="Arial Narrow" w:cs="Arial"/>
                <w:color w:val="000000"/>
              </w:rPr>
            </w:pPr>
            <w:r w:rsidRPr="00C57E72">
              <w:rPr>
                <w:rFonts w:ascii="Arial Narrow" w:hAnsi="Arial Narrow" w:cs="Arial"/>
                <w:color w:val="000000"/>
              </w:rPr>
              <w:t> 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6FA2" w:rsidRPr="00C57E72" w:rsidRDefault="005D6FA2">
            <w:pPr>
              <w:rPr>
                <w:rFonts w:ascii="Arial Narrow" w:hAnsi="Arial Narrow" w:cs="Arial"/>
                <w:color w:val="000000"/>
              </w:rPr>
            </w:pPr>
            <w:r w:rsidRPr="00C57E72">
              <w:rPr>
                <w:rFonts w:ascii="Arial Narrow" w:hAnsi="Arial Narrow" w:cs="Arial"/>
                <w:color w:val="000000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D6FA2" w:rsidRDefault="005D6FA2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D6FA2" w:rsidRDefault="005D6FA2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D6FA2" w:rsidRDefault="005D6FA2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D6FA2" w:rsidRDefault="005D6FA2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D6FA2" w:rsidRDefault="005D6F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D6FA2" w:rsidTr="00BA5625">
        <w:trPr>
          <w:trHeight w:val="945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5D6FA2" w:rsidRPr="00B701DD" w:rsidRDefault="005D6FA2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Dimensiones analíticas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5D6FA2" w:rsidRPr="00B701DD" w:rsidRDefault="005D6FA2">
            <w:pPr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Variables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5D6FA2" w:rsidRPr="00B701DD" w:rsidRDefault="005D6FA2">
            <w:pPr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Indicadores priorizados 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5D6FA2" w:rsidRPr="00B701DD" w:rsidRDefault="005D6FA2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Técnicas de Investigación y Fuentes de Información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5D6FA2" w:rsidRPr="00B701DD" w:rsidRDefault="005D6FA2">
            <w:pPr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Tipo de análisis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5D6FA2" w:rsidRPr="00B701DD" w:rsidRDefault="005D6FA2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Nivel 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5D6FA2" w:rsidRPr="00B701DD" w:rsidRDefault="005D6FA2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Responsable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5D6FA2" w:rsidRPr="00B701DD" w:rsidRDefault="005D6FA2">
            <w:pPr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Producto</w:t>
            </w:r>
          </w:p>
        </w:tc>
      </w:tr>
      <w:tr w:rsidR="005D6FA2" w:rsidTr="00BA5625">
        <w:trPr>
          <w:trHeight w:val="16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Pr="00B701DD" w:rsidRDefault="005D6FA2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b/>
                <w:bCs/>
                <w:sz w:val="22"/>
                <w:szCs w:val="22"/>
              </w:rPr>
              <w:t>1. Factores socio-culturales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Pr="00B701DD" w:rsidRDefault="005D6FA2">
            <w:pPr>
              <w:rPr>
                <w:rFonts w:ascii="Arial Narrow" w:hAnsi="Arial Narrow" w:cs="Arial"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sz w:val="22"/>
                <w:szCs w:val="22"/>
              </w:rPr>
              <w:t xml:space="preserve">Dinámicas sociales             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Pr="00B701DD" w:rsidRDefault="005D6FA2">
            <w:pPr>
              <w:rPr>
                <w:rFonts w:ascii="Arial Narrow" w:hAnsi="Arial Narrow" w:cs="Arial"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sz w:val="22"/>
                <w:szCs w:val="22"/>
              </w:rPr>
              <w:t>(1) Pertenencia  étnica                                                          (2) Nivel educacional                                                             (3) Religión                                                                            (4) IDH regional                                                                     (5) Nº de habitantes rural - urbano                                         (6) OOSS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FA2" w:rsidRPr="00B701DD" w:rsidRDefault="005D6FA2">
            <w:pPr>
              <w:rPr>
                <w:rFonts w:ascii="Arial Narrow" w:hAnsi="Arial Narrow" w:cs="Arial"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FA2" w:rsidRPr="00B701DD" w:rsidRDefault="005D6FA2">
            <w:pPr>
              <w:rPr>
                <w:rFonts w:ascii="Arial Narrow" w:hAnsi="Arial Narrow" w:cs="Arial"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FA2" w:rsidRPr="00B701DD" w:rsidRDefault="005D6FA2">
            <w:pPr>
              <w:rPr>
                <w:rFonts w:ascii="Arial Narrow" w:hAnsi="Arial Narrow" w:cs="Arial"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FA2" w:rsidRPr="00B701DD" w:rsidRDefault="005D6FA2">
            <w:pPr>
              <w:rPr>
                <w:rFonts w:ascii="Arial Narrow" w:hAnsi="Arial Narrow" w:cs="Arial"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D6FA2" w:rsidRPr="00B701DD" w:rsidRDefault="005D6F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01D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5D6FA2" w:rsidTr="00BA5625">
        <w:trPr>
          <w:trHeight w:val="1249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Pr="00B701DD" w:rsidRDefault="005D6FA2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b/>
                <w:bCs/>
                <w:sz w:val="22"/>
                <w:szCs w:val="22"/>
              </w:rPr>
              <w:t>2. Factores socio-políticos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Pr="00B701DD" w:rsidRDefault="005D6FA2">
            <w:pPr>
              <w:rPr>
                <w:rFonts w:ascii="Arial Narrow" w:hAnsi="Arial Narrow" w:cs="Arial"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Pr="00B701DD" w:rsidRDefault="005D6FA2">
            <w:pPr>
              <w:rPr>
                <w:rFonts w:ascii="Arial Narrow" w:hAnsi="Arial Narrow" w:cs="Arial"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sz w:val="22"/>
                <w:szCs w:val="22"/>
              </w:rPr>
              <w:t xml:space="preserve">(1) Nº de electores                                                                 (2) Autoridades Regionales, Provinciales y Municipales    </w:t>
            </w:r>
            <w:r w:rsidR="00D86A9A" w:rsidRPr="00B701DD">
              <w:rPr>
                <w:rFonts w:ascii="Arial Narrow" w:hAnsi="Arial Narrow" w:cs="Arial"/>
                <w:sz w:val="22"/>
                <w:szCs w:val="22"/>
              </w:rPr>
              <w:t xml:space="preserve">                                                           </w:t>
            </w:r>
            <w:r w:rsidRPr="00B701DD">
              <w:rPr>
                <w:rFonts w:ascii="Arial Narrow" w:hAnsi="Arial Narrow" w:cs="Arial"/>
                <w:sz w:val="22"/>
                <w:szCs w:val="22"/>
              </w:rPr>
              <w:t xml:space="preserve">    (3) Filiación política                                                               (4) Índice (posicionamiento  de las fuerzas políticas en el eje izquierda, derecha, nacionalismo, étnicas).                                                        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Pr="00B701DD" w:rsidRDefault="005D6FA2">
            <w:pPr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Pr="00B701DD" w:rsidRDefault="005D6FA2">
            <w:pPr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Pr="00B701DD" w:rsidRDefault="005D6FA2">
            <w:pPr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Pr="00B701DD" w:rsidRDefault="005D6FA2">
            <w:pPr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D6FA2" w:rsidRPr="00B701DD" w:rsidRDefault="005D6F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01D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5D6FA2" w:rsidTr="00BA5625">
        <w:trPr>
          <w:trHeight w:val="877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Pr="00B701DD" w:rsidRDefault="005D6FA2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b/>
                <w:bCs/>
                <w:sz w:val="22"/>
                <w:szCs w:val="22"/>
              </w:rPr>
              <w:t>3. Factores socio-económicos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FA2" w:rsidRPr="00B701DD" w:rsidRDefault="005D6FA2">
            <w:pPr>
              <w:rPr>
                <w:rFonts w:ascii="Arial Narrow" w:hAnsi="Arial Narrow" w:cs="Arial"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sz w:val="22"/>
                <w:szCs w:val="22"/>
              </w:rPr>
              <w:t xml:space="preserve">Dinámicas productivas 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Pr="00B701DD" w:rsidRDefault="005D6FA2">
            <w:pPr>
              <w:rPr>
                <w:rFonts w:ascii="Arial Narrow" w:hAnsi="Arial Narrow" w:cs="Arial"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sz w:val="22"/>
                <w:szCs w:val="22"/>
              </w:rPr>
              <w:t xml:space="preserve">(1) Índice de Competitividad SUBDERE                               (2) Actividades productivas.                                                  (3) Renta per cápita 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FA2" w:rsidRPr="00B701DD" w:rsidRDefault="005D6FA2">
            <w:pPr>
              <w:rPr>
                <w:rFonts w:ascii="Arial Narrow" w:hAnsi="Arial Narrow" w:cs="Arial"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FA2" w:rsidRPr="00B701DD" w:rsidRDefault="005D6FA2">
            <w:pPr>
              <w:rPr>
                <w:rFonts w:ascii="Arial Narrow" w:hAnsi="Arial Narrow" w:cs="Arial"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FA2" w:rsidRPr="00B701DD" w:rsidRDefault="005D6FA2">
            <w:pPr>
              <w:rPr>
                <w:rFonts w:ascii="Arial Narrow" w:hAnsi="Arial Narrow" w:cs="Arial"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FA2" w:rsidRPr="00B701DD" w:rsidRDefault="005D6FA2">
            <w:pPr>
              <w:rPr>
                <w:rFonts w:ascii="Arial Narrow" w:hAnsi="Arial Narrow" w:cs="Arial"/>
                <w:sz w:val="22"/>
                <w:szCs w:val="22"/>
              </w:rPr>
            </w:pPr>
            <w:r w:rsidRPr="00B701DD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D6FA2" w:rsidRPr="00B701DD" w:rsidRDefault="005D6F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01D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5D6FA2" w:rsidTr="00BA5625">
        <w:trPr>
          <w:trHeight w:val="1779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Default="005D6F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4. Factores socio- demográfico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FA2" w:rsidRPr="00C57E72" w:rsidRDefault="005D6FA2">
            <w:pPr>
              <w:rPr>
                <w:rFonts w:ascii="Arial Narrow" w:hAnsi="Arial Narrow" w:cs="Arial"/>
              </w:rPr>
            </w:pPr>
            <w:r w:rsidRPr="00C57E72">
              <w:rPr>
                <w:rFonts w:ascii="Arial Narrow" w:hAnsi="Arial Narrow" w:cs="Arial"/>
              </w:rPr>
              <w:t> 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Pr="00C57E72" w:rsidRDefault="005D6FA2">
            <w:pPr>
              <w:rPr>
                <w:rFonts w:ascii="Arial Narrow" w:hAnsi="Arial Narrow" w:cs="Arial"/>
              </w:rPr>
            </w:pPr>
            <w:r w:rsidRPr="00C57E72">
              <w:rPr>
                <w:rFonts w:ascii="Arial Narrow" w:hAnsi="Arial Narrow" w:cs="Arial"/>
              </w:rPr>
              <w:t xml:space="preserve">(1) Tamaño de </w:t>
            </w:r>
            <w:smartTag w:uri="urn:schemas-microsoft-com:office:smarttags" w:element="PersonName">
              <w:smartTagPr>
                <w:attr w:name="ProductID" w:val="la Regi￳n"/>
              </w:smartTagPr>
              <w:r w:rsidRPr="00C57E72">
                <w:rPr>
                  <w:rFonts w:ascii="Arial Narrow" w:hAnsi="Arial Narrow" w:cs="Arial"/>
                </w:rPr>
                <w:t>la Región</w:t>
              </w:r>
            </w:smartTag>
            <w:r w:rsidRPr="00C57E72">
              <w:rPr>
                <w:rFonts w:ascii="Arial Narrow" w:hAnsi="Arial Narrow" w:cs="Arial"/>
              </w:rPr>
              <w:t xml:space="preserve">                                                     (2) Poblamiento y migraciones                                            (3) Demografía                                                                     (4) Urbanización                                                                  (5) Desarrollo de </w:t>
            </w:r>
            <w:smartTag w:uri="urn:schemas-microsoft-com:office:smarttags" w:element="PersonName">
              <w:smartTagPr>
                <w:attr w:name="ProductID" w:val="la Regi￳n"/>
              </w:smartTagPr>
              <w:r w:rsidRPr="00C57E72">
                <w:rPr>
                  <w:rFonts w:ascii="Arial Narrow" w:hAnsi="Arial Narrow" w:cs="Arial"/>
                </w:rPr>
                <w:t>la Región</w:t>
              </w:r>
            </w:smartTag>
            <w:r w:rsidRPr="00C57E72">
              <w:rPr>
                <w:rFonts w:ascii="Arial Narrow" w:hAnsi="Arial Narrow" w:cs="Arial"/>
              </w:rPr>
              <w:t xml:space="preserve">                                                  (6) División Pol / </w:t>
            </w:r>
            <w:proofErr w:type="spellStart"/>
            <w:r w:rsidRPr="00C57E72">
              <w:rPr>
                <w:rFonts w:ascii="Arial Narrow" w:hAnsi="Arial Narrow" w:cs="Arial"/>
              </w:rPr>
              <w:t>admin</w:t>
            </w:r>
            <w:proofErr w:type="spellEnd"/>
            <w:r w:rsidRPr="00C57E72">
              <w:rPr>
                <w:rFonts w:ascii="Arial Narrow" w:hAnsi="Arial Narrow" w:cs="Arial"/>
              </w:rPr>
              <w:t xml:space="preserve">; 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FA2" w:rsidRDefault="005D6FA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FA2" w:rsidRDefault="005D6FA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FA2" w:rsidRDefault="005D6FA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FA2" w:rsidRDefault="005D6FA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D6FA2" w:rsidRDefault="005D6F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5D6FA2" w:rsidRDefault="005D6FA2" w:rsidP="005D6FA2"/>
    <w:p w:rsidR="00C57E72" w:rsidRDefault="00C57E72" w:rsidP="005D6FA2"/>
    <w:p w:rsidR="00877FCC" w:rsidRDefault="00877FCC" w:rsidP="005D6FA2"/>
    <w:tbl>
      <w:tblPr>
        <w:tblW w:w="5470" w:type="dxa"/>
        <w:tblInd w:w="-81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00"/>
        <w:gridCol w:w="2170"/>
      </w:tblGrid>
      <w:tr w:rsidR="005D6FA2">
        <w:trPr>
          <w:trHeight w:val="534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5D6FA2" w:rsidRDefault="005D6FA2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Producto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5D6FA2" w:rsidRDefault="005D6FA2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Código</w:t>
            </w:r>
          </w:p>
        </w:tc>
      </w:tr>
      <w:tr w:rsidR="005D6FA2">
        <w:trPr>
          <w:trHeight w:val="1053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Default="005D6FA2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Sistematización de Experiencias documentadas y estudiadas, chilenas y extranjeras, especialmente iberoamericanas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Default="005D6F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</w:t>
            </w:r>
          </w:p>
        </w:tc>
      </w:tr>
      <w:tr w:rsidR="005D6FA2">
        <w:trPr>
          <w:trHeight w:val="53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Default="005D6FA2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Formulación de Indicadores de Articulación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Default="005D6F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2</w:t>
            </w:r>
          </w:p>
        </w:tc>
      </w:tr>
      <w:tr w:rsidR="005D6FA2">
        <w:trPr>
          <w:trHeight w:val="716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Default="005D6FA2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Análisis Complementario sobre Participación Ciudadana y Redes de Política Pública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Default="005D6F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3</w:t>
            </w:r>
          </w:p>
        </w:tc>
      </w:tr>
      <w:tr w:rsidR="005D6FA2">
        <w:trPr>
          <w:trHeight w:val="889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Default="005D6FA2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Análisis de </w:t>
            </w:r>
            <w:smartTag w:uri="urn:schemas-microsoft-com:office:smarttags" w:element="PersonName">
              <w:smartTagPr>
                <w:attr w:name="ProductID" w:val="la Documentaci￳n"/>
              </w:smartTagPr>
              <w:r>
                <w:rPr>
                  <w:rFonts w:ascii="Arial Narrow" w:hAnsi="Arial Narrow" w:cs="Arial"/>
                  <w:color w:val="000000"/>
                  <w:sz w:val="20"/>
                  <w:szCs w:val="20"/>
                </w:rPr>
                <w:t>la Documentación</w:t>
              </w:r>
            </w:smartTag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de Experiencias de Desarrollo Territorial provenientes del Sistema de Gestión del Conocimiento sobre Desarrollo Territorial.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Default="005D6F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4</w:t>
            </w:r>
          </w:p>
        </w:tc>
      </w:tr>
      <w:tr w:rsidR="005D6FA2">
        <w:trPr>
          <w:trHeight w:val="57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Default="005D6FA2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Análisis Integrado de la Información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Default="005D6F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5</w:t>
            </w:r>
          </w:p>
        </w:tc>
      </w:tr>
      <w:tr w:rsidR="005D6FA2">
        <w:trPr>
          <w:trHeight w:val="471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Default="005D6FA2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Papers</w:t>
            </w:r>
            <w:proofErr w:type="spellEnd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de investigación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Default="005D6F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6</w:t>
            </w:r>
          </w:p>
        </w:tc>
      </w:tr>
      <w:tr w:rsidR="005D6FA2">
        <w:trPr>
          <w:trHeight w:val="687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Default="005D6FA2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Mapa Regional de actores estratégicos (y sus visiones) para la descentralización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Default="005D6F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7</w:t>
            </w:r>
          </w:p>
        </w:tc>
      </w:tr>
      <w:tr w:rsidR="005D6FA2">
        <w:trPr>
          <w:trHeight w:val="90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Default="005D6FA2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Base de Datos de experiencias regionales de articulación político social para el desarrollo 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Default="005D6F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8</w:t>
            </w:r>
          </w:p>
        </w:tc>
      </w:tr>
      <w:tr w:rsidR="005D6FA2">
        <w:trPr>
          <w:trHeight w:val="697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Default="005D6FA2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Estudios de Casos de Articulación Regional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Default="005D6F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9</w:t>
            </w:r>
          </w:p>
        </w:tc>
      </w:tr>
      <w:tr w:rsidR="005D6FA2">
        <w:trPr>
          <w:trHeight w:val="537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Default="005D6FA2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Análisis de Redes de Casos Seleccionados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FA2" w:rsidRDefault="005D6FA2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10</w:t>
            </w:r>
          </w:p>
        </w:tc>
      </w:tr>
    </w:tbl>
    <w:p w:rsidR="005D6FA2" w:rsidRPr="00C63857" w:rsidRDefault="005D6FA2" w:rsidP="005D6FA2"/>
    <w:sectPr w:rsidR="005D6FA2" w:rsidRPr="00C63857" w:rsidSect="00B701DD">
      <w:pgSz w:w="18711" w:h="12242" w:orient="landscape" w:code="5"/>
      <w:pgMar w:top="1701" w:right="1418" w:bottom="1701" w:left="124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ECD" w:rsidRDefault="00264ECD">
      <w:r>
        <w:separator/>
      </w:r>
    </w:p>
  </w:endnote>
  <w:endnote w:type="continuationSeparator" w:id="0">
    <w:p w:rsidR="00264ECD" w:rsidRDefault="00264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ECD" w:rsidRDefault="00264ECD">
      <w:r>
        <w:separator/>
      </w:r>
    </w:p>
  </w:footnote>
  <w:footnote w:type="continuationSeparator" w:id="0">
    <w:p w:rsidR="00264ECD" w:rsidRDefault="00264E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A33"/>
    <w:rsid w:val="000037E7"/>
    <w:rsid w:val="000E4EC3"/>
    <w:rsid w:val="00123161"/>
    <w:rsid w:val="001465B5"/>
    <w:rsid w:val="001531D1"/>
    <w:rsid w:val="001A199F"/>
    <w:rsid w:val="002131E2"/>
    <w:rsid w:val="00225A33"/>
    <w:rsid w:val="00232423"/>
    <w:rsid w:val="00245424"/>
    <w:rsid w:val="00264ECD"/>
    <w:rsid w:val="002E2BFB"/>
    <w:rsid w:val="00305AFC"/>
    <w:rsid w:val="003131DE"/>
    <w:rsid w:val="003A788F"/>
    <w:rsid w:val="003C7946"/>
    <w:rsid w:val="00404B45"/>
    <w:rsid w:val="00414DFE"/>
    <w:rsid w:val="00421188"/>
    <w:rsid w:val="004216C4"/>
    <w:rsid w:val="00467F43"/>
    <w:rsid w:val="004C0DD2"/>
    <w:rsid w:val="0056260B"/>
    <w:rsid w:val="005D6FA2"/>
    <w:rsid w:val="00607C44"/>
    <w:rsid w:val="0061548E"/>
    <w:rsid w:val="006E2151"/>
    <w:rsid w:val="007A72D6"/>
    <w:rsid w:val="007C6D56"/>
    <w:rsid w:val="007F0CDC"/>
    <w:rsid w:val="00877FCC"/>
    <w:rsid w:val="008B075C"/>
    <w:rsid w:val="009827A7"/>
    <w:rsid w:val="009C5119"/>
    <w:rsid w:val="00A00935"/>
    <w:rsid w:val="00A25E46"/>
    <w:rsid w:val="00A50292"/>
    <w:rsid w:val="00A536CD"/>
    <w:rsid w:val="00A619A6"/>
    <w:rsid w:val="00B549E4"/>
    <w:rsid w:val="00B701DD"/>
    <w:rsid w:val="00BA5625"/>
    <w:rsid w:val="00BB528D"/>
    <w:rsid w:val="00BB626B"/>
    <w:rsid w:val="00C44F1D"/>
    <w:rsid w:val="00C5023D"/>
    <w:rsid w:val="00C57E72"/>
    <w:rsid w:val="00C63857"/>
    <w:rsid w:val="00C72255"/>
    <w:rsid w:val="00C8351F"/>
    <w:rsid w:val="00CD1C06"/>
    <w:rsid w:val="00CE5530"/>
    <w:rsid w:val="00D33261"/>
    <w:rsid w:val="00D86A9A"/>
    <w:rsid w:val="00DB3556"/>
    <w:rsid w:val="00DB3A47"/>
    <w:rsid w:val="00F0643A"/>
    <w:rsid w:val="00FA49DA"/>
    <w:rsid w:val="00FF4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table" w:styleId="Tablaconcuadrcula">
    <w:name w:val="Table Grid"/>
    <w:basedOn w:val="Tablanormal"/>
    <w:rsid w:val="00225A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epgina">
    <w:name w:val="footer"/>
    <w:basedOn w:val="Normal"/>
    <w:rsid w:val="00C63857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C63857"/>
  </w:style>
  <w:style w:type="paragraph" w:styleId="Encabezado">
    <w:name w:val="header"/>
    <w:basedOn w:val="Normal"/>
    <w:rsid w:val="00305AFC"/>
    <w:pPr>
      <w:tabs>
        <w:tab w:val="center" w:pos="4252"/>
        <w:tab w:val="right" w:pos="8504"/>
      </w:tabs>
    </w:pPr>
  </w:style>
  <w:style w:type="character" w:styleId="Refdecomentario">
    <w:name w:val="annotation reference"/>
    <w:basedOn w:val="Fuentedeprrafopredeter"/>
    <w:semiHidden/>
    <w:rsid w:val="00BB528D"/>
    <w:rPr>
      <w:sz w:val="16"/>
      <w:szCs w:val="16"/>
    </w:rPr>
  </w:style>
  <w:style w:type="paragraph" w:styleId="Textocomentario">
    <w:name w:val="annotation text"/>
    <w:basedOn w:val="Normal"/>
    <w:semiHidden/>
    <w:rsid w:val="00BB528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BB528D"/>
    <w:rPr>
      <w:b/>
      <w:bCs/>
    </w:rPr>
  </w:style>
  <w:style w:type="paragraph" w:styleId="Textodeglobo">
    <w:name w:val="Balloon Text"/>
    <w:basedOn w:val="Normal"/>
    <w:semiHidden/>
    <w:rsid w:val="00BB52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3168</Words>
  <Characters>17425</Characters>
  <Application>Microsoft Office Word</Application>
  <DocSecurity>0</DocSecurity>
  <Lines>145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Dimensiones analíticas </vt:lpstr>
    </vt:vector>
  </TitlesOfParts>
  <Company>User</Company>
  <LinksUpToDate>false</LinksUpToDate>
  <CharactersWithSpaces>20552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Dimensiones analíticas</dc:title>
  <dc:creator>Windows</dc:creator>
  <cp:lastModifiedBy>Daniella Gac</cp:lastModifiedBy>
  <cp:revision>2</cp:revision>
  <cp:lastPrinted>2008-11-18T21:37:00Z</cp:lastPrinted>
  <dcterms:created xsi:type="dcterms:W3CDTF">2011-04-12T20:42:00Z</dcterms:created>
  <dcterms:modified xsi:type="dcterms:W3CDTF">2011-04-12T20:42:00Z</dcterms:modified>
</cp:coreProperties>
</file>